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40"/>
          <w:szCs w:val="40"/>
        </w:rPr>
        <w:t xml:space="preserve">제 6 장 Genome sequence의 이해 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b/>
          <w:bCs/>
          <w:sz w:val="24"/>
          <w:szCs w:val="24"/>
        </w:rPr>
        <w:t>학습목표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1. 게놈 sequence의 분석시 computer를 이용하는 것의 장단점 파악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2. ORF 분석의 원리를 알고, 유전자를 찾아내기 위해 사용하는 ORF scanning이 항상 etjdrhd적이지 못한 이유 파악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3. RNA로 전사되는 유전자의 부분을 찾아내는 여러 가지 실험방법 학습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4. homology의 의미 파악과 homology가 computer를 이용한 유전자 기능분석에 필요한 이유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5. homology 분석의 한계점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6. 유전자 기능분석을 위한 유전자 불활성화법 이해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7. 미지의 유전자에서 만들어진 단백질의 활성을 알아내기 위한 방법 학습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8. 전사체와 단백체 분석법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9. 단백질 상호작용 map 만드는 법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10. genome sequence를 이해하기 위한 비교 게놈학의 역할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b/>
          <w:bCs/>
          <w:sz w:val="24"/>
          <w:szCs w:val="24"/>
        </w:rPr>
        <w:t>6.1 게놈상의 유전자 찾기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ㆍ눈 혹은 computer를 이용하여 특별한 sequence를 찾아내는 방법과 실험적인 방법으로 유전자를 찾아내는 방법이 있음.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ㆍcomputer를 이용하는 방법은 Bioinformatics의 한 분야임.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6.1.1 Sequence를 조사하여 유전자 찾기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ㆍ유전자는 유전자만의 특징적 염기서열을 갖고 있으므로, 이것을 이용하여 유전자 여부를 판단함.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암호부위는 ORF이다.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ㆍ단백질을 암호화하는 유전자는 ORF를 갖고 있다.</w:t>
      </w:r>
    </w:p>
    <w:p w:rsidR="004F3805" w:rsidRDefault="004F3805" w:rsidP="004F3805">
      <w:pPr>
        <w:pStyle w:val="a3"/>
        <w:spacing w:after="80"/>
      </w:pPr>
    </w:p>
    <w:p w:rsidR="004F3805" w:rsidRDefault="004F3805" w:rsidP="004F3805">
      <w:pPr>
        <w:pStyle w:val="a3"/>
        <w:spacing w:after="80"/>
      </w:pPr>
      <w:r>
        <w:rPr>
          <w:rFonts w:eastAsia="바탕"/>
          <w:sz w:val="48"/>
          <w:szCs w:val="48"/>
        </w:rPr>
        <w:t>Open reading frame</w:t>
      </w:r>
    </w:p>
    <w:p w:rsidR="004F3805" w:rsidRDefault="004F3805" w:rsidP="004F3805">
      <w:pPr>
        <w:pStyle w:val="a3"/>
        <w:spacing w:after="80"/>
      </w:pPr>
      <w:r>
        <w:rPr>
          <w:rFonts w:eastAsia="바탕"/>
          <w:sz w:val="36"/>
          <w:szCs w:val="36"/>
        </w:rPr>
        <w:t>Synonym(s)</w:t>
      </w:r>
    </w:p>
    <w:p w:rsidR="004F3805" w:rsidRDefault="004F3805" w:rsidP="004F3805">
      <w:pPr>
        <w:pStyle w:val="a3"/>
        <w:numPr>
          <w:ilvl w:val="0"/>
          <w:numId w:val="1"/>
        </w:numPr>
        <w:ind w:left="600"/>
      </w:pPr>
      <w:r>
        <w:rPr>
          <w:rFonts w:eastAsia="바탕"/>
        </w:rPr>
        <w:t xml:space="preserve">ORFs </w:t>
      </w:r>
    </w:p>
    <w:p w:rsidR="004F3805" w:rsidRDefault="004F3805" w:rsidP="004F3805">
      <w:pPr>
        <w:pStyle w:val="a3"/>
        <w:numPr>
          <w:ilvl w:val="0"/>
          <w:numId w:val="2"/>
        </w:numPr>
        <w:spacing w:after="80"/>
        <w:ind w:left="600"/>
      </w:pPr>
      <w:r>
        <w:rPr>
          <w:rFonts w:eastAsia="바탕"/>
        </w:rPr>
        <w:t xml:space="preserve">protein coding sequences </w:t>
      </w:r>
    </w:p>
    <w:p w:rsidR="004F3805" w:rsidRDefault="004F3805" w:rsidP="004F3805">
      <w:pPr>
        <w:pStyle w:val="a3"/>
        <w:spacing w:after="80"/>
      </w:pPr>
      <w:r>
        <w:rPr>
          <w:rFonts w:eastAsia="바탕"/>
          <w:sz w:val="36"/>
          <w:szCs w:val="36"/>
        </w:rPr>
        <w:t>Definition(s)</w:t>
      </w:r>
    </w:p>
    <w:p w:rsidR="004F3805" w:rsidRDefault="004F3805" w:rsidP="004F3805">
      <w:pPr>
        <w:pStyle w:val="a3"/>
      </w:pPr>
      <w:r>
        <w:rPr>
          <w:rFonts w:eastAsia="바탕"/>
        </w:rPr>
        <w:t xml:space="preserve">Sequences of structural genes devoid of termination codons and therefore continuously "readable" by RNA polymerase. </w:t>
      </w:r>
    </w:p>
    <w:p w:rsidR="004F3805" w:rsidRDefault="004F3805" w:rsidP="004F3805">
      <w:pPr>
        <w:pStyle w:val="a3"/>
        <w:spacing w:before="150" w:after="80"/>
      </w:pPr>
      <w:r>
        <w:rPr>
          <w:rFonts w:eastAsia="바탕"/>
        </w:rPr>
        <w:t>Definition from:</w:t>
      </w:r>
      <w:r>
        <w:rPr>
          <w:rFonts w:eastAsia="바탕"/>
        </w:rPr>
        <w:t> </w:t>
      </w:r>
      <w:hyperlink r:id="rId5" w:history="1">
        <w:r>
          <w:rPr>
            <w:rStyle w:val="a4"/>
            <w:rFonts w:eastAsia="바탕"/>
            <w:u w:color="0000FF"/>
          </w:rPr>
          <w:t>Unified Medical Language System</w:t>
        </w:r>
        <w:r>
          <w:rPr>
            <w:noProof/>
            <w:color w:val="0000FF"/>
          </w:rPr>
          <w:drawing>
            <wp:inline distT="0" distB="0" distL="0" distR="0" wp14:anchorId="1C3AEB81" wp14:editId="5364E21A">
              <wp:extent cx="142875" cy="66675"/>
              <wp:effectExtent l="0" t="0" r="9525" b="9525"/>
              <wp:docPr id="99" name="_x364991456" descr="EMB000036900be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364991456" descr="EMB000036900be4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" cy="66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a4"/>
          </w:rPr>
          <w:t xml:space="preserve"> </w:t>
        </w:r>
      </w:hyperlink>
      <w:r>
        <w:rPr>
          <w:rFonts w:eastAsia="바탕"/>
        </w:rPr>
        <w:t xml:space="preserve">(CRISP Thesaurus) </w:t>
      </w:r>
      <w:r>
        <w:rPr>
          <w:rFonts w:eastAsia="바탕"/>
        </w:rPr>
        <w:t> </w:t>
      </w:r>
      <w:r>
        <w:rPr>
          <w:rFonts w:eastAsia="바탕"/>
        </w:rPr>
        <w:t xml:space="preserve"> at the National Library of Medicine </w:t>
      </w:r>
    </w:p>
    <w:p w:rsidR="004F3805" w:rsidRDefault="004F3805" w:rsidP="004F3805">
      <w:pPr>
        <w:pStyle w:val="a3"/>
        <w:spacing w:before="150"/>
        <w:ind w:left="-600"/>
      </w:pPr>
      <w:r>
        <w:rPr>
          <w:rFonts w:eastAsia="바탕"/>
        </w:rPr>
        <w:t xml:space="preserve">A reading frame in a sequence of nucleotides in DNA that contains no termination codons and so can potentially translate as a polypeptide chain. (On-line Medical Dictionary) </w:t>
      </w:r>
    </w:p>
    <w:p w:rsidR="004F3805" w:rsidRDefault="004F3805" w:rsidP="004F3805">
      <w:pPr>
        <w:pStyle w:val="a3"/>
        <w:spacing w:before="150" w:after="80"/>
      </w:pPr>
      <w:r>
        <w:rPr>
          <w:rFonts w:eastAsia="바탕"/>
        </w:rPr>
        <w:t>Definition from:</w:t>
      </w:r>
      <w:r>
        <w:rPr>
          <w:rFonts w:eastAsia="바탕"/>
        </w:rPr>
        <w:t> </w:t>
      </w:r>
      <w:hyperlink r:id="rId7" w:history="1">
        <w:r>
          <w:rPr>
            <w:rStyle w:val="a4"/>
            <w:rFonts w:eastAsia="바탕"/>
            <w:u w:color="0000FF"/>
          </w:rPr>
          <w:t>Unified Medical Language System</w:t>
        </w:r>
        <w:r>
          <w:rPr>
            <w:noProof/>
            <w:color w:val="0000FF"/>
          </w:rPr>
          <w:drawing>
            <wp:inline distT="0" distB="0" distL="0" distR="0" wp14:anchorId="1B698384" wp14:editId="0D2BD1DF">
              <wp:extent cx="142875" cy="66675"/>
              <wp:effectExtent l="0" t="0" r="9525" b="9525"/>
              <wp:docPr id="98" name="_x364959920" descr="EMB000036900be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364959920" descr="EMB000036900be5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" cy="66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a4"/>
          </w:rPr>
          <w:t xml:space="preserve"> </w:t>
        </w:r>
      </w:hyperlink>
      <w:r>
        <w:rPr>
          <w:rFonts w:eastAsia="바탕"/>
        </w:rPr>
        <w:t xml:space="preserve">(NCI Thesaurus) </w:t>
      </w:r>
      <w:r>
        <w:rPr>
          <w:rFonts w:eastAsia="바탕"/>
        </w:rPr>
        <w:t> </w:t>
      </w:r>
      <w:r>
        <w:rPr>
          <w:rFonts w:eastAsia="바탕"/>
        </w:rPr>
        <w:t xml:space="preserve"> at the National Library of Medicine </w:t>
      </w:r>
    </w:p>
    <w:p w:rsidR="004F3805" w:rsidRDefault="004F3805" w:rsidP="004F3805">
      <w:pPr>
        <w:pStyle w:val="a3"/>
        <w:spacing w:before="150"/>
        <w:ind w:left="-600"/>
      </w:pPr>
      <w:r>
        <w:rPr>
          <w:rFonts w:eastAsia="바탕"/>
        </w:rPr>
        <w:t xml:space="preserve">A reading frame that does not contain a nucleotide triplet which stops translation before formation of a complete polypeptide -- abbreviation ORF. </w:t>
      </w:r>
    </w:p>
    <w:p w:rsidR="004F3805" w:rsidRDefault="004F3805" w:rsidP="004F3805">
      <w:pPr>
        <w:pStyle w:val="a3"/>
        <w:spacing w:before="150" w:after="80"/>
      </w:pPr>
      <w:r>
        <w:rPr>
          <w:rFonts w:eastAsia="바탕"/>
        </w:rPr>
        <w:lastRenderedPageBreak/>
        <w:t>Definition from:</w:t>
      </w:r>
      <w:r>
        <w:rPr>
          <w:rFonts w:eastAsia="바탕"/>
        </w:rPr>
        <w:t> </w:t>
      </w:r>
      <w:hyperlink r:id="rId8" w:history="1">
        <w:r>
          <w:rPr>
            <w:rStyle w:val="a4"/>
            <w:rFonts w:eastAsia="바탕"/>
            <w:u w:color="0000FF"/>
          </w:rPr>
          <w:t>Merriam-Webster's Medical Dictionary</w:t>
        </w:r>
        <w:r>
          <w:rPr>
            <w:noProof/>
            <w:color w:val="0000FF"/>
          </w:rPr>
          <w:drawing>
            <wp:inline distT="0" distB="0" distL="0" distR="0" wp14:anchorId="39E715A7" wp14:editId="2312BC3E">
              <wp:extent cx="142875" cy="66675"/>
              <wp:effectExtent l="0" t="0" r="9525" b="9525"/>
              <wp:docPr id="97" name="_x364960064" descr="EMB000036900be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_x364960064" descr="EMB000036900be6"/>
                      <pic:cNvPicPr>
                        <a:picLocks noChangeAspect="1" noChangeArrowheads="1"/>
                      </pic:cNvPicPr>
                    </pic:nvPicPr>
                    <pic:blipFill>
                      <a:blip r:embed="rId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" cy="66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a4"/>
          </w:rPr>
          <w:t xml:space="preserve"> </w:t>
        </w:r>
      </w:hyperlink>
      <w:r>
        <w:rPr>
          <w:rFonts w:eastAsia="바탕"/>
        </w:rPr>
        <w:t xml:space="preserve">by Merriam-Webster Inc. </w:t>
      </w:r>
    </w:p>
    <w:p w:rsidR="004F3805" w:rsidRDefault="004F3805" w:rsidP="004F3805">
      <w:pPr>
        <w:pStyle w:val="a3"/>
        <w:spacing w:after="20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F74B2" wp14:editId="17125438">
            <wp:simplePos x="0" y="0"/>
            <wp:positionH relativeFrom="page">
              <wp:posOffset>1386840</wp:posOffset>
            </wp:positionH>
            <wp:positionV relativeFrom="page">
              <wp:posOffset>1344295</wp:posOffset>
            </wp:positionV>
            <wp:extent cx="4400550" cy="2028825"/>
            <wp:effectExtent l="0" t="0" r="0" b="9525"/>
            <wp:wrapTopAndBottom/>
            <wp:docPr id="128" name="_x364962872" descr="DRW000036900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962872" descr="DRW000036900d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0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spacing w:after="80"/>
        <w:rPr>
          <w:sz w:val="2"/>
          <w:szCs w:val="2"/>
        </w:rPr>
      </w:pPr>
      <w:r>
        <w:rPr>
          <w:rFonts w:eastAsia="바탕"/>
          <w:color w:val="0000FF"/>
          <w:sz w:val="2"/>
          <w:szCs w:val="2"/>
          <w:u w:val="single" w:color="0000FF"/>
        </w:rPr>
        <w:t>Lister Hill National Center for Biomedical Communicati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ㆍDNA sequence를 computer가 분석할 때 6개의 reading frame으로 분석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ㆍ대장균 유전자의 평균 codon의 길이는 317, 효모는 483, 사람은 450 임.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13CB84A" wp14:editId="29999FB1">
            <wp:simplePos x="0" y="0"/>
            <wp:positionH relativeFrom="page">
              <wp:posOffset>1072515</wp:posOffset>
            </wp:positionH>
            <wp:positionV relativeFrom="page">
              <wp:posOffset>3564890</wp:posOffset>
            </wp:positionV>
            <wp:extent cx="5337810" cy="3604260"/>
            <wp:effectExtent l="0" t="0" r="0" b="0"/>
            <wp:wrapTopAndBottom/>
            <wp:docPr id="127" name="_x364962656" descr="DRW000036900d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962656" descr="DRW000036900d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60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4"/>
          <w:szCs w:val="24"/>
        </w:rPr>
        <w:t>ㆍORF scanning 에 있어서 유전자로 볼 수 있는 ORF 크기는 100 codon 이상인 것을 유전자로 간주함.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고등 진핵세포에서 ORF scanning은 비 효과적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ㆍ진핵세포 게놈의 62%가 intergenic 임.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ㆍ암호부위가 intron에 의해 분절되어 있음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ㆍ이러한 문제점을 극복하기 위해서 ORF scanning program을 수정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 codon bias를 감안 : 유기체에 따라서 자주 사용하는 codon이 있으므로, intron의 경우는 다른 codon usage를 나타내므로 배제 가능.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 exon-intron 접합부위 탐색 : intron 부위는 GT로 시작하여 PyPyPyPyPyPyNCAG로 끝나므로 확인 가능.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 Upstream regulatory element : 유전자의 시작부위에 존재하는 조절부위를 확인. 조절부위의 종류가 다양하고 유전자 마다 서로 다른 조절부위를 가지므로 문제가 있음.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ㆍ위의 3가지 수정사항은 모든 진핵세포 게놈 분석에 적용되지만, 유기체에 따른 특징을 감안하여 다른 수정이 가능하다. 예를들면, 척추동믈은 많은 유전자의 상류에 1kb에 해당하는 CpG island가 있다는 점이다. 인간의 경우 40-50% 가 상류 CpG island가 있음.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176D0BD" wp14:editId="13E75693">
            <wp:simplePos x="0" y="0"/>
            <wp:positionH relativeFrom="page">
              <wp:posOffset>1143000</wp:posOffset>
            </wp:positionH>
            <wp:positionV relativeFrom="page">
              <wp:posOffset>5589905</wp:posOffset>
            </wp:positionV>
            <wp:extent cx="4949190" cy="2196465"/>
            <wp:effectExtent l="0" t="0" r="3810" b="0"/>
            <wp:wrapTopAndBottom/>
            <wp:docPr id="126" name="_x364968416" descr="DRW000036900d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968416" descr="DRW000036900d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19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lastRenderedPageBreak/>
        <w:t>■</w:t>
      </w:r>
      <w:r>
        <w:rPr>
          <w:rFonts w:ascii="한양신명조" w:eastAsia="한양신명조" w:hint="eastAsia"/>
          <w:sz w:val="24"/>
          <w:szCs w:val="24"/>
        </w:rPr>
        <w:t>Homology 탐색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 ORF 탐색 program은 95% 이상의 ORF를 찾아내지만 진정한 유전자(exon)인지 확인할 수 있는 방법으로 이미 알려진 유전자 database를 검색하여 homology가 있는지 조사함. homology가 있으면, 유전자일 가능성이 큼.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6.1.2유전자를 찾기위한 실험적 방법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ㆍ대부분의 실험적 방법은 DNA 분자 자체를 대상으로 하지 않고 전사된 RNA를 대상으로 하고 있다.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632C532" wp14:editId="3970DAFE">
            <wp:simplePos x="0" y="0"/>
            <wp:positionH relativeFrom="page">
              <wp:posOffset>1173480</wp:posOffset>
            </wp:positionH>
            <wp:positionV relativeFrom="page">
              <wp:posOffset>2578100</wp:posOffset>
            </wp:positionV>
            <wp:extent cx="3752850" cy="6555105"/>
            <wp:effectExtent l="0" t="0" r="0" b="0"/>
            <wp:wrapTopAndBottom/>
            <wp:docPr id="125" name="_x364974680" descr="DRW000036900d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974680" descr="DRW000036900d5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55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4"/>
          <w:szCs w:val="24"/>
        </w:rPr>
        <w:t xml:space="preserve">ㆍ모든 유전자는 RNA로 전사되어지고 전사된 RNA는 intron이 제거되고 exon으로만 구성되므로 RNA를 대상으로 조사를 하면 DNA 상의 exon의 위치를 찾을 수 있다.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ㆍ문제는 전사된 RNA는 실제의 암호부위보다 길다는 점이다. 5'과 3'에 비 암호부위가 포함되어 있다. 따라서, RNA는 암호부위의 시작과 끝을 정확하게 말해주지 못한다.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Hybridization test로 전사되어지는 DNA를 찾을 수 있다.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ㆍNorthern blot analysis : RNA를 전기영동하고 조사하고자 하는 DNA probe로 hybridization 하면, 그 DNA에 들어있는 유전자 수를 알 수 있다. 그러나, 다음과 같은 단점이 있다.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-한 유전자에서 서로 다른 크기의 RNA가 있을 수 있고, 혹은, 그 유전자가 mutigene family이면 에러가 발생함. 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-어떤 조직 혹은 기관에서 분리한 RNA에는 모든 유전자의 RNA가 포함되어 있지 않으며, 설령 유기체 전부에서 RNA를 분리하더라도 발현이 적은 유전자는 탐지되지 않을 수도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C3BD2B" wp14:editId="2D6E25FD">
            <wp:simplePos x="0" y="0"/>
            <wp:positionH relativeFrom="page">
              <wp:posOffset>1165860</wp:posOffset>
            </wp:positionH>
            <wp:positionV relativeFrom="page">
              <wp:posOffset>1986280</wp:posOffset>
            </wp:positionV>
            <wp:extent cx="3829050" cy="3865245"/>
            <wp:effectExtent l="0" t="0" r="0" b="1905"/>
            <wp:wrapTopAndBottom/>
            <wp:docPr id="124" name="_x364977560" descr="DRW000036900d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977560" descr="DRW000036900d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4"/>
          <w:szCs w:val="24"/>
        </w:rPr>
        <w:t xml:space="preserve">ㆍ발현이 적게되거나 특정한 조직에서만 발현되는 유전자에 대해서는 다른 동물의 RNA를 이용한 소위 ZOO-blotting을 이용하면 어느 정도 위 문제점을 피할 </w:t>
      </w:r>
      <w:r>
        <w:rPr>
          <w:rFonts w:ascii="한양신명조" w:eastAsia="한양신명조" w:hint="eastAsia"/>
          <w:sz w:val="24"/>
          <w:szCs w:val="24"/>
        </w:rPr>
        <w:lastRenderedPageBreak/>
        <w:t>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cDNA sequencing으로 DNA 상에 유전자 mapping이 가능함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ㆍnorthern과 zoo-blotting은 DNA 상에 유전자의 존재 유무를 알 수 있으나, 위치에 관한 정보는 알려주지 않는다.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ㆍcDNA sequencing은 DNA 상의 유전자의 위치를 알 수 있게 해준다.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ㆍcDNA를 cloning 하기 위해서는 mRNA로부터 cDNA를 합성하고 cDNA library를 만들어 screening에 사용해야 한다.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ㆍ문제점은 full-length cDNA 합성이 어렵다는 것이며, 그로 인하여 유전자의 양쪽 끝부분을 알아내는데 문제가 있다.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 wp14:anchorId="443D08B1" wp14:editId="484D58FC">
            <wp:simplePos x="0" y="0"/>
            <wp:positionH relativeFrom="page">
              <wp:posOffset>1179195</wp:posOffset>
            </wp:positionH>
            <wp:positionV relativeFrom="page">
              <wp:posOffset>1828800</wp:posOffset>
            </wp:positionV>
            <wp:extent cx="2684145" cy="4474845"/>
            <wp:effectExtent l="0" t="0" r="1905" b="1905"/>
            <wp:wrapTopAndBottom/>
            <wp:docPr id="123" name="_x239319056" descr="DRW000036900d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9319056" descr="DRW000036900d5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145" cy="447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 xml:space="preserve">■ </w:t>
      </w:r>
      <w:r>
        <w:rPr>
          <w:rFonts w:ascii="한양신명조" w:eastAsia="한양신명조" w:hint="eastAsia"/>
          <w:sz w:val="24"/>
          <w:szCs w:val="24"/>
        </w:rPr>
        <w:t>RNA 의 끝을 알아내는 법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ㆍRT-PCR의 일종으로 RACE PCR법을 이용(Fig 6.6)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483419E" wp14:editId="39F9CB39">
            <wp:simplePos x="0" y="0"/>
            <wp:positionH relativeFrom="page">
              <wp:posOffset>1112520</wp:posOffset>
            </wp:positionH>
            <wp:positionV relativeFrom="page">
              <wp:posOffset>1991360</wp:posOffset>
            </wp:positionV>
            <wp:extent cx="2183130" cy="7265670"/>
            <wp:effectExtent l="0" t="0" r="7620" b="0"/>
            <wp:wrapTopAndBottom/>
            <wp:docPr id="122" name="_x239319920" descr="DRW000036900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9319920" descr="DRW000036900d5c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30" cy="726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A794A00" wp14:editId="623DCF7C">
            <wp:simplePos x="0" y="0"/>
            <wp:positionH relativeFrom="page">
              <wp:posOffset>1127760</wp:posOffset>
            </wp:positionH>
            <wp:positionV relativeFrom="page">
              <wp:posOffset>1938655</wp:posOffset>
            </wp:positionV>
            <wp:extent cx="3615690" cy="6120765"/>
            <wp:effectExtent l="0" t="0" r="3810" b="0"/>
            <wp:wrapTopAndBottom/>
            <wp:docPr id="121" name="_x239320784" descr="DRW000036900d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9320784" descr="DRW000036900d5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90" cy="612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4"/>
          <w:szCs w:val="24"/>
        </w:rPr>
        <w:t>ㆍheteroduplex analysis(Fig. 6.7)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Exon-intron boundary 위치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ㆍheteroduplex analysis 이용가능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ㆍexon trapping(Fig. 6.8)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b/>
          <w:bCs/>
          <w:sz w:val="24"/>
          <w:szCs w:val="24"/>
        </w:rPr>
      </w:pPr>
    </w:p>
    <w:p w:rsidR="004F3805" w:rsidRDefault="004F3805" w:rsidP="004F3805">
      <w:pPr>
        <w:pStyle w:val="a3"/>
        <w:rPr>
          <w:b/>
          <w:bCs/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b/>
          <w:bCs/>
          <w:sz w:val="24"/>
          <w:szCs w:val="24"/>
        </w:rPr>
        <w:t>6.2 각 유전자의 기능 결정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ㆍ새로운 유전자를 찾은 다음 단계는 기능 연구임.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ㆍ실험적 방법과 computer를 이용한 방법이 있음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6.2.1 computer 에 의한 기능분석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ㆍdatabase에 있는 유전자와 homoogy 탐색을 통해 비슷한 유전자나 새로운 유전자를 찾아낼 수 있음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ㆍhomology 탐색으로 유전자 기능도 알 수 있음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homology는 진화적 관련성을 나타낸다.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ㆍhomology가 있다면, 공동 조상 유전자에서 진화되었다고 볼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ㆍhomologous gene은 다음과 같이 두 가지 group 이 있다.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 orthologous gene : 다른 유기체에 있는 유전자로서 진화적으로 분리되기 이전의 조상에게서 유래된 유전자임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 paralogous gene : 같은 유기체에 존재하는 유전자로서 진화적 조상으로부터 유래되지 않을 수도 있음, 예를들면 다가족 유전자(multigene family)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 xml:space="preserve">ㆍhomologous gene은 정확하게 동일한 염기서열을 갖고 있지 않고, 돌연변이에 의해 다른 sequence를 갖고 있다. 이것은 진화적 관련성을 나타내며, 동일하거나, 같은 기능을 갖고 있음을 추정할 수 있다.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ㆍNucleotide sequence similarity와 homology의 차이 : 80% nucleotide identity(similarity)를 80%homologous 로 표시해서는 안됨(Fig. 6.9). 따라서 nucleotide sequence에 % homology는 별 의미가 없다. 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A18C8BA" wp14:editId="7756B739">
            <wp:simplePos x="0" y="0"/>
            <wp:positionH relativeFrom="page">
              <wp:posOffset>1219200</wp:posOffset>
            </wp:positionH>
            <wp:positionV relativeFrom="page">
              <wp:posOffset>5434330</wp:posOffset>
            </wp:positionV>
            <wp:extent cx="4693920" cy="824865"/>
            <wp:effectExtent l="0" t="0" r="0" b="0"/>
            <wp:wrapTopAndBottom/>
            <wp:docPr id="120" name="_x239301848" descr="DRW000036900d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9301848" descr="DRW000036900d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33D96289" wp14:editId="6E6F38CE">
            <wp:simplePos x="0" y="0"/>
            <wp:positionH relativeFrom="page">
              <wp:posOffset>1219200</wp:posOffset>
            </wp:positionH>
            <wp:positionV relativeFrom="page">
              <wp:posOffset>6805930</wp:posOffset>
            </wp:positionV>
            <wp:extent cx="4709160" cy="1120140"/>
            <wp:effectExtent l="0" t="0" r="0" b="3810"/>
            <wp:wrapTopAndBottom/>
            <wp:docPr id="119" name="_x239304800" descr="DRW000036900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9304800" descr="DRW000036900d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60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Homology 탐색으로 유전자 기능에 관한 정보를 얻을 수 있다.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ㆍnucleotide sequence를 이용해서 homology search 하는 것 보다. 아미노산으로 번역한 다음 homology를 search 하는 것이 더 정확함.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ㆍdatabase 의 어떤 유전자와 homology가 있다면, 새 유전자의 기능이 동일 하거나 아니면 homology의 정도에 따라서 기능이 조금 관련성이 있을 수 있다. 진화적 관련성이 없더라도 짧은 부분에 있어서 유사할 수도 있다. 그 이유는 단백질의 domain이 같을 수 있으며, 그것은 비슷한 기능을 의미하는 것이다.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 wp14:anchorId="35A5E8E1" wp14:editId="44101CFA">
            <wp:simplePos x="0" y="0"/>
            <wp:positionH relativeFrom="page">
              <wp:posOffset>1188720</wp:posOffset>
            </wp:positionH>
            <wp:positionV relativeFrom="page">
              <wp:posOffset>2537460</wp:posOffset>
            </wp:positionV>
            <wp:extent cx="3798570" cy="2440305"/>
            <wp:effectExtent l="0" t="0" r="0" b="0"/>
            <wp:wrapTopAndBottom/>
            <wp:docPr id="118" name="_x239306456" descr="DRW000036900d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9306456" descr="DRW000036900d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570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효모 게놈 project에서 homology 분석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ㆍ효모 유전자는 약 6000개이었으며, 그 중 30%는 이미 고전적 유전학에 의해 알려진 것이고, 나머지 70%를 homology 분석하였다.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- homology search 결과 30 %는 유전자 기능이 밝혀졌고, 그 중 반은 database 유전자와 동일한 유전자이었으며, 나머지 반은 유사성이 떨어지거나 부분적으로 유사한 유전자로 밝혀졌다. 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 약 10%는 database에 상동성 유전자가 있으나 그 기능을 모르는 것으로 이 유전자들은 orphan family라고 함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 나머지 30%는 database에 상동성이 없는 유전자로서 unique 한 것으로, single orphan이라함.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6.2.2 실험적 방법에 의한 기능조사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ㆍhomology search가 기능의 조사에 모든 것을 해결하는 것이 아님.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ㆍ실험적 방밥으로 보충이 되어야 하며, sequence로부터 기능을 밝혀야하므로, </w:t>
      </w:r>
      <w:r>
        <w:rPr>
          <w:rFonts w:ascii="한양신명조" w:eastAsia="한양신명조" w:hint="eastAsia"/>
          <w:sz w:val="24"/>
          <w:szCs w:val="24"/>
        </w:rPr>
        <w:lastRenderedPageBreak/>
        <w:t>표현형으로부터 유전자를 찾는 전통적인 방법이 아니라 gene으로부터 표현형을 찾아서 그 기능을 밝혀야 함.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8E3C1AD" wp14:editId="63D10ED3">
            <wp:simplePos x="0" y="0"/>
            <wp:positionH relativeFrom="page">
              <wp:posOffset>1158240</wp:posOffset>
            </wp:positionH>
            <wp:positionV relativeFrom="page">
              <wp:posOffset>1797050</wp:posOffset>
            </wp:positionV>
            <wp:extent cx="4050030" cy="2813685"/>
            <wp:effectExtent l="0" t="0" r="7620" b="5715"/>
            <wp:wrapTopAndBottom/>
            <wp:docPr id="111" name="_x239313944" descr="DRW000036900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39313944" descr="DRW000036900d6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281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유전자 불활성화에 의한 기능분석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ㆍ고전적인 유전학적 분석에서는 표현형은 돌연변이체를 만들고 교배에 의해 그 유전자의 위치를 알아낸다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ㆍsequence 된 유전자가의 경우도 같은 원리로 그 유전자를 돌연변이시켜 그 표현형을 관찰함으로서 그 기능을 알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각 유전자는 homologous recombination에 의해 불활성화 될 수 있다.(Fig. 6.13, Fig. 6.14)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ㆍ유전자 clone의 한 부분을 항생제 유전자로 치환한 DAN를 이용한 homologous recombination을 수행하여 유전자 파괴함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ㆍES cell에서 homologous recombination를 수행하여 embryo에 주임하여 </w:t>
      </w:r>
      <w:r>
        <w:rPr>
          <w:rFonts w:ascii="한양신명조" w:eastAsia="한양신명조" w:hint="eastAsia"/>
          <w:sz w:val="24"/>
          <w:szCs w:val="24"/>
        </w:rPr>
        <w:lastRenderedPageBreak/>
        <w:t>knock-out mouse 생산하여 표현형 관찰.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homologous recombination를 이용하지 않은 유전자 불활성화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ㆍ유전자를 transposon으로 파괴할 수 있음 : recombinant technique를 이용하면 더 높은 빈도로 transposition을 유도할 수 있음(Fig. 6.15).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1489DDB2" wp14:editId="204D4653">
            <wp:simplePos x="0" y="0"/>
            <wp:positionH relativeFrom="page">
              <wp:posOffset>1150620</wp:posOffset>
            </wp:positionH>
            <wp:positionV relativeFrom="page">
              <wp:posOffset>1621155</wp:posOffset>
            </wp:positionV>
            <wp:extent cx="4354830" cy="2722245"/>
            <wp:effectExtent l="0" t="0" r="7620" b="1905"/>
            <wp:wrapTopAndBottom/>
            <wp:docPr id="101" name="_x47598320" descr="DRW000036900d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47598320" descr="DRW000036900d6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272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80AB2F6" wp14:editId="35C2BD75">
            <wp:simplePos x="0" y="0"/>
            <wp:positionH relativeFrom="page">
              <wp:posOffset>1371600</wp:posOffset>
            </wp:positionH>
            <wp:positionV relativeFrom="page">
              <wp:posOffset>3058160</wp:posOffset>
            </wp:positionV>
            <wp:extent cx="3348990" cy="2440305"/>
            <wp:effectExtent l="0" t="0" r="3810" b="0"/>
            <wp:wrapTopAndBottom/>
            <wp:docPr id="102" name="_x241737200" descr="DRW000036900d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1737200" descr="DRW000036900d6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8990" cy="2440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ㆍ문제는 transposon이 우리가 원하는 특정한 유전자를 파괴한다는 보장이 없으며 random 하게 유전자를 파괴한다는 것이다. 따라서 screening 과정을 거쳐서 필요한 돌연변이체를 골라야 한다.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ㆍtransposon에 의한 유전자 파괴는 전체적인 돌연변이 유도에 유용함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D802AD0" wp14:editId="3CE59BE9">
            <wp:simplePos x="0" y="0"/>
            <wp:positionH relativeFrom="page">
              <wp:posOffset>1127760</wp:posOffset>
            </wp:positionH>
            <wp:positionV relativeFrom="page">
              <wp:posOffset>5518785</wp:posOffset>
            </wp:positionV>
            <wp:extent cx="3280410" cy="4450080"/>
            <wp:effectExtent l="0" t="0" r="0" b="7620"/>
            <wp:wrapTopAndBottom/>
            <wp:docPr id="103" name="_x241738208" descr="DRW000036900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1738208" descr="DRW000036900d6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445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ㆍRNA interference라고 하는 전혀 새로운 방법을 사용가능함. 유전자의 mRNA의 한 부분과 동일한 염기배열을 갖는 21 bp의 작은 double stranded RNA 분자를 세포에 도입하면 그 유전자의 전사가 억제됨. 이 방법은 진핵세포에만 적용됨(Fig. 6.16)</w:t>
      </w: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Overexpression으로 유전자 기능 밝히기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ㆍ유전자 불활성화는 유전자 기능 손실(loss of gene function)을 이용하여 유전자 기능을 밝히는 방법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ㆍOverexpression은 정상보다 많은 양의 유전자 발현을 통하여 유전자의 기능 획득(gain of function)을 통하여 그 기능을 알아내는 것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ㆍOverexpress하는 법 : muticopy vector의 강력한 promoter 뒤에 암호부위를 cloning 하여 host에 도입.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58F71DD1" wp14:editId="5D181F48">
            <wp:simplePos x="0" y="0"/>
            <wp:positionH relativeFrom="page">
              <wp:posOffset>1623060</wp:posOffset>
            </wp:positionH>
            <wp:positionV relativeFrom="page">
              <wp:posOffset>1739900</wp:posOffset>
            </wp:positionV>
            <wp:extent cx="3417570" cy="3211195"/>
            <wp:effectExtent l="0" t="0" r="0" b="8255"/>
            <wp:wrapTopAndBottom/>
            <wp:docPr id="104" name="_x241740656" descr="DRW000036900d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1740656" descr="DRW000036900d6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321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4"/>
          <w:szCs w:val="24"/>
        </w:rPr>
        <w:t>ㆍtransgenic mouse의 생산에 의한 유전자의 overexpression 에 의해서도 기능을 알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1B3FB3DE" wp14:editId="29043F41">
            <wp:simplePos x="0" y="0"/>
            <wp:positionH relativeFrom="page">
              <wp:posOffset>1173480</wp:posOffset>
            </wp:positionH>
            <wp:positionV relativeFrom="page">
              <wp:posOffset>5261610</wp:posOffset>
            </wp:positionV>
            <wp:extent cx="3501390" cy="2569845"/>
            <wp:effectExtent l="0" t="0" r="3810" b="1905"/>
            <wp:wrapTopAndBottom/>
            <wp:docPr id="105" name="_x241741160" descr="DRW000036900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1741160" descr="DRW000036900d7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90" cy="2569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6.2.3 unknown gene에서 만들어진 단백질 기능의 상세한 연구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ㆍinactivation 과 overexpression은 새로은 유전자의 기능 결정을 위한 주된 기술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ㆍ유전자의 기능에 대한 부가적인 정보를 알 수 있는 방법이 있다.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5E4166D" wp14:editId="49421D38">
            <wp:simplePos x="0" y="0"/>
            <wp:positionH relativeFrom="page">
              <wp:posOffset>1135380</wp:posOffset>
            </wp:positionH>
            <wp:positionV relativeFrom="page">
              <wp:posOffset>1572260</wp:posOffset>
            </wp:positionV>
            <wp:extent cx="4766310" cy="2379345"/>
            <wp:effectExtent l="0" t="0" r="0" b="1905"/>
            <wp:wrapTopAndBottom/>
            <wp:docPr id="106" name="_x241744904" descr="DRW000036900d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1744904" descr="DRW000036900d7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2379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직접적 돌연변이에 의한 상세 기능 연구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ㆍinactivation 과 overexpression으로 유전자의 일반적인 기능은 알 수 있지만, 상세한 기능은 알 수 없다.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ㆍ단백질 중 어떤 특정한 아미노산의 기능을 알고 싶을 때는 그 codon만 돌연변이 시키면 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ㆍ이러한 목적을 위해서는 site-directed mutagenesis 기술을 사용할 수 있음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 방법은 또한 소위 protein engineering 이라는 분야에도 이용됨.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 xml:space="preserve">ㆍ돌연변이 후에는 돌연변이된 유전자를 homologous recombination에 의하여 이미 존재하는 유전자를 치환시켜서 그 돌연변이의 효과를 보아야 한다.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ㆍhomologous recombination 에 의해 유전자가 치환되었는지를 확인하기 위하여 marker gene(예, 항생제 내성 marker)을 돌연변이된 유전자옆에 붙여서 도입함.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ㆍmarker gene의 영향을 없애기 위하여 two-step gene replacement 법을 사용하여 marker gene 제거(Fig. 6.19)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4A3D3814" wp14:editId="6B7C1067">
            <wp:simplePos x="0" y="0"/>
            <wp:positionH relativeFrom="page">
              <wp:posOffset>1158240</wp:posOffset>
            </wp:positionH>
            <wp:positionV relativeFrom="page">
              <wp:posOffset>1259840</wp:posOffset>
            </wp:positionV>
            <wp:extent cx="3768090" cy="3651250"/>
            <wp:effectExtent l="0" t="0" r="3810" b="6350"/>
            <wp:wrapTopAndBottom/>
            <wp:docPr id="107" name="_x241748936" descr="DRW000036900d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1748936" descr="DRW000036900d7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090" cy="365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Reporter gene과 면역세포화학법으로 유전자 발현 탐지하기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ㆍ유전자의 발현 장소에 대한 정보가 그 유전자의 기능을 밝히는 중요한 요소가 될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ㆍ한 유기체 내에서 유전자의 발현 pattern은 reporter gene을 통해 쉽게 파악할 수 있다. reporter gene은 색깔이나 형광등으로 표현될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ㆍreporter gene은 원래 test 유전자의 발현 조절부위를 파괴하지 않도록 삽입되어져야 하며, test 유전자의 ORF대신 치환시켜서 사용한다.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ㆍ때로는 test 유전자에서 만들어진 단백질이 어떤 세포에서 존재하는지 알아내는 것이 필요함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ㆍ또한 세포내에서 그 단백질이 어디 위치하는지도 그 단백질의 기능에 대한 중요한 정보를 얻는데 도움이 됨.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299D2112" wp14:editId="09DC2FD0">
            <wp:simplePos x="0" y="0"/>
            <wp:positionH relativeFrom="page">
              <wp:posOffset>1371600</wp:posOffset>
            </wp:positionH>
            <wp:positionV relativeFrom="page">
              <wp:posOffset>1259840</wp:posOffset>
            </wp:positionV>
            <wp:extent cx="3630930" cy="1866900"/>
            <wp:effectExtent l="0" t="0" r="7620" b="0"/>
            <wp:wrapTopAndBottom/>
            <wp:docPr id="108" name="_x241734680" descr="DRW000036900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241734680" descr="DRW000036900d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ㆍ이러한 경우 reporter gene은 별로 도움이 되지 않는다. 왜냐하면, reporter gene은 세포내 단백질의 targeting에 대한 필요한 신호는 갖고 있지 않기 때문이다.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ㆍ이러한 경우 단백질 그 자체를 탐지하는 것이 한 방법이며, immunocytochemistry를 이용하면 됨(Fig. 6.21)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C0A8629" wp14:editId="712E9391">
            <wp:simplePos x="0" y="0"/>
            <wp:positionH relativeFrom="page">
              <wp:posOffset>1150620</wp:posOffset>
            </wp:positionH>
            <wp:positionV relativeFrom="page">
              <wp:posOffset>6279515</wp:posOffset>
            </wp:positionV>
            <wp:extent cx="3676650" cy="2966085"/>
            <wp:effectExtent l="0" t="0" r="0" b="5715"/>
            <wp:wrapTopAndBottom/>
            <wp:docPr id="109" name="_x364708696" descr="DRW000036900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708696" descr="DRW000036900d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4"/>
          <w:szCs w:val="24"/>
        </w:rPr>
        <w:t>ㆍ단백질에 대한 항체를 형광물질로 표지하여 사용함으로서 광학현미경으로 저 해상도에서 관찰가능하며, 고해상도의 전자현미경에서 관찰할려면 colloidal gold 등과 같이 electron dense label로 표지한 항체를 사용할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b/>
          <w:bCs/>
          <w:sz w:val="24"/>
          <w:szCs w:val="24"/>
        </w:rPr>
      </w:pPr>
    </w:p>
    <w:p w:rsidR="004F3805" w:rsidRDefault="004F3805" w:rsidP="004F3805">
      <w:pPr>
        <w:pStyle w:val="a3"/>
        <w:rPr>
          <w:b/>
          <w:bCs/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b/>
          <w:bCs/>
          <w:sz w:val="24"/>
          <w:szCs w:val="24"/>
        </w:rPr>
        <w:t>6.3 게놈 활성을 전체적으로 연구하기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ㆍ서로 다른 조직 혹은 서로 다른 발생단계, 혹은 병적상태 등의 transcriptome 혹은 proteome 등을 조사하여, 그 조직의 중요 특징을 이해함.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6.3.1 transcriptome 연구 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ㆍtranscriptome은 특정한 시기에 특정한 세포에서의 mRNA 전체를 말함.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ㆍtranscriptome의 특징 연구는 mRNA 들의 동정과 그들의 상대적인 비율 등을 조사하는 것이다.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SAGE 에 의한 transcriptome의 성분분석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ㆍtranscriptome을 조사하는 가장 직접적인 방법은 mRNA로부터 cDNA를 합성하여 library를 만들고 각 cDNA clone들을 sequencing하여 서로 그 빈도를 비교하는 것이다. 그러나 이 방법은 너무 힘든 방법이다.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ㆍ쉽게 transcriptome을 분석할 수 있는 방법으로 SAGE를 들 수 있다.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ㆍSAGE법에서는 cDNA의 전체서열을 사용하지 않고 cDNA 염기서열중 각 cDNA에 특이적으로 존재하는12bp길이의 염기서열을 이용하는 것이다.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ㆍ특정한 12bp의 염기서열이 나타날 확률은 4</w:t>
      </w:r>
      <w:r>
        <w:rPr>
          <w:rFonts w:ascii="한양신명조" w:eastAsia="한양신명조" w:hint="eastAsia"/>
          <w:sz w:val="24"/>
          <w:szCs w:val="24"/>
          <w:vertAlign w:val="superscript"/>
        </w:rPr>
        <w:t>12</w:t>
      </w:r>
      <w:r>
        <w:rPr>
          <w:rFonts w:eastAsia="한양신명조"/>
          <w:sz w:val="24"/>
          <w:szCs w:val="24"/>
        </w:rPr>
        <w:t xml:space="preserve"> </w:t>
      </w:r>
      <w:r>
        <w:rPr>
          <w:rFonts w:ascii="한양신명조" w:eastAsia="한양신명조" w:hint="eastAsia"/>
          <w:sz w:val="24"/>
          <w:szCs w:val="24"/>
        </w:rPr>
        <w:t>bp에 한번이다. 이것은 진핵세포 mRNA의 평균 길이를 1500 nt라고 할 때, 11000 mRNA에 한번 존재한다는 것을 의미한다.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ㆍ기질에 고정된 oligo dT에 mRNA의 polyA tail을 anealing 시켜서 고정하고 dsDNA를 합성한다. 4-cut restriction enzyme으로 절단하여 oligo dT에 고정된 cDNA 부분만을 회수한다.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ㆍBsmF1 제한효소 site가 있는 oligonucleotide를 cDNA의 제한효소절단 부위에 ligation 하고, BsmF1으로 절단한다.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ㆍBsmF1은 그 인식부위로부터 downstream 쪽으로 10-14 bp 위치를 절단한다. 이때 각 cDNA끝에서 12 bp 씩 분리되어져 나오는 작은 cDNA 조각(tag이라고 함)을 head-to-tail로 길게 연결하여 cloning하고 sequencing 한다.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ㆍ각 tag은 한 종류의 mRNA로부터 나왔다고 가정할 수 있으며, 각 tag의 비는 그 mRNA의 비를 의미한다.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ㆍtag의 염기배열과 mRNA 혹은 genome의 염기배열을 비교하면 각 tag이 나타내는 mRNA를 동정할 수 있다.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AC9857A" wp14:editId="3CDC07A3">
            <wp:simplePos x="0" y="0"/>
            <wp:positionH relativeFrom="column">
              <wp:posOffset>428625</wp:posOffset>
            </wp:positionH>
            <wp:positionV relativeFrom="line">
              <wp:posOffset>209550</wp:posOffset>
            </wp:positionV>
            <wp:extent cx="3145155" cy="4998720"/>
            <wp:effectExtent l="0" t="0" r="0" b="0"/>
            <wp:wrapTopAndBottom/>
            <wp:docPr id="110" name="_x364723096" descr="EMB000036900c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723096" descr="EMB000036900c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499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chip과 microarray를 이용한 transcriptome의 연구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ㆍ각 유전자를 대표할 수 있는 각 oligonucleotide로 구성된 chip을 이용할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ㆍmRNA로부터 합성한 cDNA를 표지하여 chip에 hybridization 시킴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ㆍSAGE 보다 빠른 시간내에 서로다른 transcriptome을 비교분석할 수 있는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장점이 있음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123DBC" wp14:editId="0A45E04E">
                <wp:simplePos x="0" y="0"/>
                <wp:positionH relativeFrom="page">
                  <wp:posOffset>1158240</wp:posOffset>
                </wp:positionH>
                <wp:positionV relativeFrom="page">
                  <wp:posOffset>6191885</wp:posOffset>
                </wp:positionV>
                <wp:extent cx="3985260" cy="281940"/>
                <wp:effectExtent l="5715" t="10160" r="9525" b="12700"/>
                <wp:wrapNone/>
                <wp:docPr id="100" name="_x364726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5260" cy="281940"/>
                        </a:xfrm>
                        <a:prstGeom prst="rect">
                          <a:avLst/>
                        </a:prstGeom>
                        <a:noFill/>
                        <a:ln w="4191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F3805" w:rsidRDefault="004F3805" w:rsidP="004F3805">
                            <w:pPr>
                              <w:pStyle w:val="a3"/>
                            </w:pPr>
                            <w:r>
                              <w:rPr>
                                <w:rFonts w:eastAsia="바탕"/>
                              </w:rPr>
                              <w:t>Figure 6.22 SAGE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23DBC" id="_x364726840" o:spid="_x0000_s1026" style="position:absolute;left:0;text-align:left;margin-left:91.2pt;margin-top:487.55pt;width:313.8pt;height:22.2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1AUggIAAAoFAAAOAAAAZHJzL2Uyb0RvYy54bWysVN9v2yAQfp+0/wHxnvpH3NSx6lRRnEyT&#10;uq1St+eJAI7RMHhAYnfT/vcdOEnT9WWa5gfMcXB839133N4NrUQHbqzQqsTJVYwRV1QzoXYl/vJ5&#10;M8kxso4oRqRWvMRP3OK7xds3t31X8FQ3WjJuEARRtui7EjfOdUUUWdrwltgr3XEFzlqbljgwzS5i&#10;hvQQvZVRGsezqNeGdUZTbi2sVqMTL0L8uubUfapryx2SJQZsLowmjFs/RotbUuwM6RpBjzDIP6Bo&#10;iVBw6TlURRxBeyNehWoFNdrq2l1R3Ua6rgXlgQOwSeI/2Dw2pOOBCyTHduc02f8Xln48PBgkGNQu&#10;hvwo0kKRvg7TWXaTzvIsJKjvbAH7HrsH4yna7l7TbxYpvWqI2vGlMbpvOGEAK/EJjV4c8IaFo2jb&#10;f9AMopO90yFXQ21aHxCygIZQkqdzSfjgEIXF6Ty/TmeAjIIvzZP5CCkixel0Z6x7x3WL/KTEBkoe&#10;opPDvXUeDSlOW/xlSm+ElKHsUqG+xFkyT8IBq6Vg3hlImt12JQ06EC+c8AVqQP9yWyscyFeKtsT5&#10;eRMpfDbWioVbHBFynAMSqXxwIAfYjrNRJj/n8Xydr/NskqWz9SSLq2qy3KyyyWyT3FxX02q1qpJf&#10;HmeSFY1gjCsP9STZJPs7SRybZxTbWbQvKNlL5pvwvWYevYQRsgysTv/ALsjAV943oy3csB0gIX66&#10;1ewJBGH02I7wfMCk0eYHRj20Yont9z0xHCP5XoGo5kkGVUcuGNn1TQqGufRsLz1EUQhVYuoMRqOx&#10;cmPH7zsjdg3cNRZc6SVIsRZBJc+4jgKGhgt0jo+D7+hLO+x6fsIWvwEAAP//AwBQSwMEFAAGAAgA&#10;AAAhAJUHDKvhAAAADAEAAA8AAABkcnMvZG93bnJldi54bWxMj8FOwzAQRO9I/IO1SFyq1k5FaRri&#10;VBQEKkIcWhBnN1mSiHgdbKcNf89yguNoRjNv8vVoO3FEH1pHGpKZAoFUuqqlWsPb68M0BRGiocp0&#10;jlDDNwZYF+dnuckqd6IdHvexFlxCITMamhj7TMpQNmhNmLkeib0P562JLH0tK29OXG47OVfqWlrT&#10;Ei80pse7BsvP/WA10OAn8T6o5+3Ty8ZsJsv3tP161PryYry9ARFxjH9h+MVndCiY6eAGqoLoWKfz&#10;K45qWC0XCQhOpInidwe2VLJagCxy+f9E8QMAAP//AwBQSwECLQAUAAYACAAAACEAtoM4kv4AAADh&#10;AQAAEwAAAAAAAAAAAAAAAAAAAAAAW0NvbnRlbnRfVHlwZXNdLnhtbFBLAQItABQABgAIAAAAIQA4&#10;/SH/1gAAAJQBAAALAAAAAAAAAAAAAAAAAC8BAABfcmVscy8ucmVsc1BLAQItABQABgAIAAAAIQBc&#10;s1AUggIAAAoFAAAOAAAAAAAAAAAAAAAAAC4CAABkcnMvZTJvRG9jLnhtbFBLAQItABQABgAIAAAA&#10;IQCVBwyr4QAAAAwBAAAPAAAAAAAAAAAAAAAAANwEAABkcnMvZG93bnJldi54bWxQSwUGAAAAAAQA&#10;BADzAAAA6gUAAAAA&#10;" filled="f" strokeweight=".33pt">
                <v:textbox>
                  <w:txbxContent>
                    <w:p w:rsidR="004F3805" w:rsidRDefault="004F3805" w:rsidP="004F3805">
                      <w:pPr>
                        <w:pStyle w:val="a3"/>
                      </w:pPr>
                      <w:r>
                        <w:rPr>
                          <w:rFonts w:eastAsia="바탕"/>
                        </w:rPr>
                        <w:t>Figure 6.22 SAGE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ㆍribosome에 bound된 mRNA 로부터 합성된 cDNA를 표지하여 hybridization 하면 좀더 다른 형태의 genome activity를 관찰할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ㆍmicroarray는 oligonucleotide 대신 cloned 된 DNA를 고정하여 사용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06D739C8" wp14:editId="718EC1DE">
            <wp:simplePos x="0" y="0"/>
            <wp:positionH relativeFrom="page">
              <wp:posOffset>1226820</wp:posOffset>
            </wp:positionH>
            <wp:positionV relativeFrom="page">
              <wp:posOffset>3761740</wp:posOffset>
            </wp:positionV>
            <wp:extent cx="4200525" cy="4398645"/>
            <wp:effectExtent l="0" t="0" r="9525" b="1905"/>
            <wp:wrapTopAndBottom/>
            <wp:docPr id="112" name="_x364729360" descr="DRW000036900d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729360" descr="DRW000036900d7c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39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6.3.2 proteome 연구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ㆍproteome은 genome과 세포의 생화학적 능력을 연결시켜주는 것이라고 할 수 있으므로 proteome 연구는 중요함.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ㆍproteome의 차이를 알아내는 것은 genome 활성이 어떻게 기능을 발휘하는지 이해하는데 도움이 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ㆍtranscriptome의 비교와 proteome의 비교는 항상 일치하는 것은 아님. 그 이유는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 모든 mRNA가 어떤 특정 시기에 전부 활발하게 번역되어지는 것은 아니기 때문.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- 단백질의 양은 새로운 단백질의 합성과 이미 존재하는 단백질의 분해의 결과임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ㆍ따라서 proteome 연구는 genome 활성을 완전히 밝히기 위해서 필요함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세포내 단백질양 측정법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ㆍproteome을 연구하는 방법을 총체적으로 proteomics라고 하며, 단백질 전기영동과 질량분석 등을 포함하고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ㆍ우선 순수한 단백질 시료를 준비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ㆍPAGE가 단백질을 분리하는 가장 기본적인 방법이지만 많은 단백질이 전기영동에의해 서로 분리되지 않는다.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ㆍ이러한 점을 보완하기 위해서 2차원전기영동 사용함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ㆍ2차원전기영동에서 두 proteome의 차이는 spot의 위치와 진하기 정도에 따라 비교되어 진다.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ㆍspot의 단백질을 동정하기위해서 질량분석기를 사용함.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※</w:t>
      </w:r>
      <w:r>
        <w:rPr>
          <w:rFonts w:ascii="한양신명조" w:eastAsia="한양신명조" w:hint="eastAsia"/>
          <w:sz w:val="24"/>
          <w:szCs w:val="24"/>
        </w:rPr>
        <w:t>질량분석기의 원리를 공부해 봅시다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ㆍ일반적인 질량분석기는 단백질과 같은 큰 분자의 분자량 측정이 어렵기 때문에 MALDI-TOF 라고하는 기술을 사용하면 50 a.a 까지의 peptide는 측정할 수 있음.(Matrix-assisted laser desorption/ionisation-time of flight mass spectrometry (MALDI-TOF MS)</w:t>
      </w: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3840" behindDoc="0" locked="0" layoutInCell="1" allowOverlap="1" wp14:anchorId="09D0511A" wp14:editId="4DD06538">
            <wp:simplePos x="0" y="0"/>
            <wp:positionH relativeFrom="page">
              <wp:posOffset>1080135</wp:posOffset>
            </wp:positionH>
            <wp:positionV relativeFrom="page">
              <wp:posOffset>1259840</wp:posOffset>
            </wp:positionV>
            <wp:extent cx="5067300" cy="6281420"/>
            <wp:effectExtent l="0" t="0" r="0" b="5080"/>
            <wp:wrapTopAndBottom/>
            <wp:docPr id="113" name="_x364737424" descr="DRW000036900d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737424" descr="DRW000036900d7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28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ㆍ2차원 전기영동한 gel의 단백질 spot을 trypsin 등으로 소화 하면 짭은 peptide가 생성되며, MALDI-TOF spectrum을 genome sequence와 관련지을 수 있다.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lastRenderedPageBreak/>
        <w:t>ㆍproteomics는 한 종류의 단백질내의 peptide 구성을 조사할 때도 유용하게 사용할 수 있다. 유전자의 exon-intron의 구성, splicing의 pattern 등도 알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서로 상호작용하는 단백질 동정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ㆍgenome 활성과 관련된 중요한 자료로서 서로 상호작용하는 단백질 쌍 혹은 group을 알아내는 것을 들 수 있다. 이러한 자료는 새로이 발견된 단백질의 기능을 찾는데 긴요하다.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ㆍ단백질들간의 상호작용을 연결시키면 protein interaction map을 그릴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ㆍ단백질간의 상호작용을 밝힐 수 있는 몇 가지 방법이 있다. 그 중에서 phage display와 yeast two-hybrid system이 가장 중요한 방법이라고 할 수 있다.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0" locked="0" layoutInCell="1" allowOverlap="1" wp14:anchorId="17C402B4" wp14:editId="3CFA6EF3">
            <wp:simplePos x="0" y="0"/>
            <wp:positionH relativeFrom="page">
              <wp:posOffset>1217295</wp:posOffset>
            </wp:positionH>
            <wp:positionV relativeFrom="page">
              <wp:posOffset>1377315</wp:posOffset>
            </wp:positionV>
            <wp:extent cx="4208145" cy="4490085"/>
            <wp:effectExtent l="0" t="0" r="1905" b="5715"/>
            <wp:wrapTopAndBottom/>
            <wp:docPr id="114" name="_x364781808" descr="DRW000036900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781808" descr="DRW000036900d8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449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ㆍbacteriophage </w:t>
      </w:r>
      <w:r>
        <w:rPr>
          <w:rFonts w:ascii="한양신명조" w:eastAsia="한양신명조" w:hAnsi="한양신명조" w:hint="eastAsia"/>
          <w:sz w:val="24"/>
          <w:szCs w:val="24"/>
        </w:rPr>
        <w:t xml:space="preserve">λ </w:t>
      </w:r>
      <w:r>
        <w:rPr>
          <w:rFonts w:ascii="한양신명조" w:eastAsia="한양신명조" w:hint="eastAsia"/>
          <w:sz w:val="24"/>
          <w:szCs w:val="24"/>
        </w:rPr>
        <w:t>혹은 M13 등의 coat protein 유전자에 test protein 유전자를 융합시켜 발현 하면 phage의 표면에 test protein이 표출될 것임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ㆍ표출된 단백질과 다른 단백질과의 상호작용은 이미 일려진 단백질과의 상호작용을 조사할 수 도 있고, 혹은 phage display library를 만들면, library의 어떤 단백질이 test protein과 상호작용하는지도 조사할 수도 있다(Fig. 6.25A. 6.25B)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5A865F7" wp14:editId="3A44F516">
            <wp:simplePos x="0" y="0"/>
            <wp:positionH relativeFrom="page">
              <wp:posOffset>1143000</wp:posOffset>
            </wp:positionH>
            <wp:positionV relativeFrom="page">
              <wp:posOffset>3681730</wp:posOffset>
            </wp:positionV>
            <wp:extent cx="4644390" cy="3187065"/>
            <wp:effectExtent l="0" t="0" r="3810" b="0"/>
            <wp:wrapTopAndBottom/>
            <wp:docPr id="115" name="_x364784256" descr="DRW000036900d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784256" descr="DRW000036900d8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390" cy="318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한양신명조" w:eastAsia="한양신명조" w:hint="eastAsia"/>
          <w:sz w:val="24"/>
          <w:szCs w:val="24"/>
        </w:rPr>
        <w:t>ㆍYeast two-hybrid system(Fig. 6.26)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 wp14:anchorId="385CA5DF" wp14:editId="529A4B23">
            <wp:simplePos x="0" y="0"/>
            <wp:positionH relativeFrom="page">
              <wp:posOffset>1080135</wp:posOffset>
            </wp:positionH>
            <wp:positionV relativeFrom="page">
              <wp:posOffset>7316470</wp:posOffset>
            </wp:positionV>
            <wp:extent cx="3120390" cy="1623060"/>
            <wp:effectExtent l="0" t="0" r="3810" b="0"/>
            <wp:wrapTopAndBottom/>
            <wp:docPr id="116" name="_x364783608" descr="DRW000036900d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783608" descr="DRW000036900d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1623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Ansi="한양신명조" w:hint="eastAsia"/>
          <w:sz w:val="24"/>
          <w:szCs w:val="24"/>
        </w:rPr>
        <w:t>■</w:t>
      </w:r>
      <w:r>
        <w:rPr>
          <w:rFonts w:ascii="한양신명조" w:eastAsia="한양신명조" w:hint="eastAsia"/>
          <w:sz w:val="24"/>
          <w:szCs w:val="24"/>
        </w:rPr>
        <w:t>단백질상호작용지도</w:t>
      </w: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ㆍproteome 내에서의 모든 상호작용을 표시하는 것을 말함(Fig. 6.28.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>ㆍ주로 yeast two-hybrid를 이용해 만듬.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  <w:r>
        <w:rPr>
          <w:rFonts w:ascii="한양신명조" w:eastAsia="한양신명조" w:hint="eastAsia"/>
          <w:sz w:val="24"/>
          <w:szCs w:val="24"/>
        </w:rPr>
        <w:t xml:space="preserve">ㆍ한 유기체에서 서로 다른 단백질이 다른 유기체에서는 그 두 단백질이 융합된 형태로 나타날 때, 그 두 단백질이 상호작용할 경우가 있다. </w:t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7936" behindDoc="0" locked="0" layoutInCell="1" allowOverlap="1" wp14:anchorId="5554407D" wp14:editId="707E01F9">
            <wp:simplePos x="0" y="0"/>
            <wp:positionH relativeFrom="page">
              <wp:posOffset>1247775</wp:posOffset>
            </wp:positionH>
            <wp:positionV relativeFrom="page">
              <wp:posOffset>1019175</wp:posOffset>
            </wp:positionV>
            <wp:extent cx="3676650" cy="3964305"/>
            <wp:effectExtent l="0" t="0" r="0" b="0"/>
            <wp:wrapTopAndBottom/>
            <wp:docPr id="117" name="_x364789368" descr="DRW000036900d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364789368" descr="DRW000036900d8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96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805" w:rsidRDefault="004F3805" w:rsidP="004F3805">
      <w:pPr>
        <w:pStyle w:val="a3"/>
        <w:rPr>
          <w:sz w:val="24"/>
          <w:szCs w:val="24"/>
        </w:rPr>
      </w:pPr>
    </w:p>
    <w:p w:rsidR="004F3805" w:rsidRDefault="004F3805" w:rsidP="004F3805">
      <w:pPr>
        <w:pStyle w:val="a3"/>
      </w:pPr>
    </w:p>
    <w:p w:rsidR="003212E6" w:rsidRPr="004F3805" w:rsidRDefault="004F3805">
      <w:bookmarkStart w:id="0" w:name="_GoBack"/>
      <w:bookmarkEnd w:id="0"/>
    </w:p>
    <w:sectPr w:rsidR="003212E6" w:rsidRPr="004F3805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한양신명조">
    <w:altName w:val="바탕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425214"/>
    <w:multiLevelType w:val="hybridMultilevel"/>
    <w:tmpl w:val="FCC24042"/>
    <w:lvl w:ilvl="0" w:tplc="88163B5E">
      <w:start w:val="1"/>
      <w:numFmt w:val="bullet"/>
      <w:suff w:val="space"/>
      <w:lvlText w:val="•"/>
      <w:lvlJc w:val="left"/>
      <w:pPr>
        <w:ind w:left="0" w:firstLine="0"/>
      </w:pPr>
      <w:rPr>
        <w:rFonts w:ascii="Wingdings" w:hAnsi="Wingdings" w:hint="default"/>
      </w:rPr>
    </w:lvl>
    <w:lvl w:ilvl="1" w:tplc="D9CA9E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C8452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FC2C3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CC7B6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142AE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CE79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3C418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D8839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A014388"/>
    <w:multiLevelType w:val="multilevel"/>
    <w:tmpl w:val="D47C1DFC"/>
    <w:lvl w:ilvl="0">
      <w:start w:val="1"/>
      <w:numFmt w:val="bullet"/>
      <w:suff w:val="space"/>
      <w:lvlText w:val="•"/>
      <w:lvlJc w:val="left"/>
      <w:pPr>
        <w:ind w:left="0" w:firstLine="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805"/>
    <w:rsid w:val="004F3805"/>
    <w:rsid w:val="006A1082"/>
    <w:rsid w:val="00FE79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2CAE37F-19E8-4681-BFC1-39B6C597E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바탕글"/>
    <w:basedOn w:val="a"/>
    <w:rsid w:val="004F3805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4">
    <w:name w:val="Hyperlink"/>
    <w:basedOn w:val="a0"/>
    <w:uiPriority w:val="99"/>
    <w:semiHidden/>
    <w:unhideWhenUsed/>
    <w:rsid w:val="004F38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07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21" Type="http://schemas.openxmlformats.org/officeDocument/2006/relationships/image" Target="media/image14.gif"/><Relationship Id="rId34" Type="http://schemas.openxmlformats.org/officeDocument/2006/relationships/image" Target="media/image27.gif"/><Relationship Id="rId7" Type="http://schemas.openxmlformats.org/officeDocument/2006/relationships/hyperlink" Target="http://ghr.nlm.nih.gov/ghr/visit;jsessionid=FEA19E2B34E1AC7D1EF678890C72A31D?uid=7bH4sIAAAAAAAAAEvPyS8uTiyqjI-Pr8koKSmw0tcvzc0pzsxLy9fLy8nVy8vM0EvPL9MHAP0LL50oAAAA" TargetMode="Externa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8.gif"/><Relationship Id="rId33" Type="http://schemas.openxmlformats.org/officeDocument/2006/relationships/image" Target="media/image26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openxmlformats.org/officeDocument/2006/relationships/image" Target="media/image13.gif"/><Relationship Id="rId29" Type="http://schemas.openxmlformats.org/officeDocument/2006/relationships/image" Target="media/image22.gif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fontTable" Target="fontTable.xml"/><Relationship Id="rId5" Type="http://schemas.openxmlformats.org/officeDocument/2006/relationships/hyperlink" Target="http://ghr.nlm.nih.gov/ghr/visit;jsessionid=FEA19E2B34E1AC7D1EF678890C72A31D?uid=7bH4sIAAAAAAAAAEvPyS8uTiyqjI-Pr8koKSmw0tcvzc0pzsxLy9fLy8nVy8vM0EvPL9MHAP0LL50oAAAA" TargetMode="Externa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10" Type="http://schemas.openxmlformats.org/officeDocument/2006/relationships/image" Target="media/image3.gif"/><Relationship Id="rId19" Type="http://schemas.openxmlformats.org/officeDocument/2006/relationships/image" Target="media/image12.gif"/><Relationship Id="rId31" Type="http://schemas.openxmlformats.org/officeDocument/2006/relationships/image" Target="media/image24.gif"/><Relationship Id="rId4" Type="http://schemas.openxmlformats.org/officeDocument/2006/relationships/webSettings" Target="webSettings.xml"/><Relationship Id="rId9" Type="http://schemas.openxmlformats.org/officeDocument/2006/relationships/image" Target="media/image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20.gif"/><Relationship Id="rId30" Type="http://schemas.openxmlformats.org/officeDocument/2006/relationships/image" Target="media/image23.jpeg"/><Relationship Id="rId35" Type="http://schemas.openxmlformats.org/officeDocument/2006/relationships/image" Target="media/image28.gif"/><Relationship Id="rId8" Type="http://schemas.openxmlformats.org/officeDocument/2006/relationships/hyperlink" Target="http://ghr.nlm.nih.gov/ghr/visit;jsessionid=FEA19E2B34E1AC7D1EF678890C72A31D?uid=7bH4sIAAAAAAAAAEvPyS8uTiyqjI-Pr8koKSmw0tcvLy.Xy8vJ1cvLzNBLzy.Tz01NycnMSy3IKS3WzwWRKZnJJZn5eUBdehkluTkAldcvi0MAAAA_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31</Pages>
  <Words>1764</Words>
  <Characters>10058</Characters>
  <Application>Microsoft Office Word</Application>
  <DocSecurity>0</DocSecurity>
  <Lines>83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2020-08-30T01:29:00Z</dcterms:created>
  <dcterms:modified xsi:type="dcterms:W3CDTF">2020-08-30T01:32:00Z</dcterms:modified>
</cp:coreProperties>
</file>