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85" w:rsidRDefault="00F63585" w:rsidP="00F63585">
      <w:pPr>
        <w:pStyle w:val="a3"/>
      </w:pPr>
      <w:r>
        <w:rPr>
          <w:rFonts w:eastAsia="함초롬바탕" w:hAnsi="함초롬바탕" w:cs="함초롬바탕" w:hint="eastAsia"/>
        </w:rPr>
        <w:t>제</w:t>
      </w:r>
      <w:r>
        <w:rPr>
          <w:rFonts w:eastAsia="함초롬바탕"/>
        </w:rPr>
        <w:t>4</w:t>
      </w:r>
      <w:r>
        <w:rPr>
          <w:rFonts w:eastAsia="함초롬바탕" w:hAnsi="함초롬바탕" w:cs="함초롬바탕" w:hint="eastAsia"/>
        </w:rPr>
        <w:t xml:space="preserve">장 </w:t>
      </w:r>
      <w:proofErr w:type="spellStart"/>
      <w:r>
        <w:rPr>
          <w:rFonts w:eastAsia="함초롬바탕" w:hAnsi="함초롬바탕" w:cs="함초롬바탕" w:hint="eastAsia"/>
        </w:rPr>
        <w:t>강의메모</w:t>
      </w:r>
      <w:proofErr w:type="spellEnd"/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proofErr w:type="gramStart"/>
      <w:r>
        <w:rPr>
          <w:rFonts w:eastAsia="함초롬바탕"/>
        </w:rPr>
        <w:t>acute</w:t>
      </w:r>
      <w:proofErr w:type="gramEnd"/>
      <w:r>
        <w:rPr>
          <w:rFonts w:eastAsia="함초롬바탕"/>
        </w:rPr>
        <w:t xml:space="preserve"> phase response a group of physiologic processes occurring soon after the onset of infection, trauma, inflammatory processes, and some malignant conditions. The most prominent change is a dramatic increase of acute phase proteins in the serum, especially C-reactive protein. 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r>
        <w:rPr>
          <w:rFonts w:eastAsia="함초롬바탕"/>
        </w:rPr>
        <w:t>Kaposi's sarcoma (KS) is a type of cancer that can form masses in the skin, lymph nodes, or other organs.[4] The skin lesions are usually purple in color.[4] They can occur singularly, in a limited area, or be widespread.[7] It may worsen either gradually or quickly.[6] Lesions may be flat or raised.[6] Human herpesvirus 8 (HHV8) is found in the lesions of all those who are affected.[4] Risk factors include poor immune function, either as a result of disease or specific medications, and chronic lymphedema.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r>
        <w:rPr>
          <w:rFonts w:eastAsia="함초롬바탕"/>
        </w:rPr>
        <w:t>Hairy cell leukemia is a rare, slow-growing cancer of the blood in which your bone marrow makes too many B cells (lymphocytes), a type of white blood cell that fights infection.</w:t>
      </w:r>
    </w:p>
    <w:p w:rsidR="00F63585" w:rsidRDefault="00F63585" w:rsidP="00F63585">
      <w:pPr>
        <w:pStyle w:val="a3"/>
      </w:pPr>
      <w:r>
        <w:rPr>
          <w:rFonts w:eastAsia="함초롬바탕"/>
        </w:rPr>
        <w:t>These excess B cells are abnormal and look "hairy" under a microscope. As the number of leukemia cells increases, fewer healthy white blood cells, red blood cells and platelets are produced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r>
        <w:rPr>
          <w:rFonts w:eastAsia="함초롬바탕"/>
        </w:rPr>
        <w:t>Granulocytes are a category of white blood cells characterized by the presence of granules in their cytoplasm</w:t>
      </w:r>
      <w:proofErr w:type="gramStart"/>
      <w:r>
        <w:rPr>
          <w:rFonts w:eastAsia="함초롬바탕"/>
        </w:rPr>
        <w:t>.[</w:t>
      </w:r>
      <w:proofErr w:type="gramEnd"/>
      <w:r>
        <w:rPr>
          <w:rFonts w:eastAsia="함초롬바탕"/>
        </w:rPr>
        <w:t xml:space="preserve">1] They are also called </w:t>
      </w:r>
      <w:proofErr w:type="spellStart"/>
      <w:r>
        <w:rPr>
          <w:rFonts w:eastAsia="함초롬바탕"/>
        </w:rPr>
        <w:t>polymorphonuclear</w:t>
      </w:r>
      <w:proofErr w:type="spellEnd"/>
      <w:r>
        <w:rPr>
          <w:rFonts w:eastAsia="함초롬바탕"/>
        </w:rPr>
        <w:t xml:space="preserve"> leukocytes or </w:t>
      </w:r>
      <w:proofErr w:type="spellStart"/>
      <w:r>
        <w:rPr>
          <w:rFonts w:eastAsia="함초롬바탕"/>
        </w:rPr>
        <w:t>polymorphonuclear</w:t>
      </w:r>
      <w:proofErr w:type="spellEnd"/>
      <w:r>
        <w:rPr>
          <w:rFonts w:eastAsia="함초롬바탕"/>
        </w:rPr>
        <w:t xml:space="preserve"> neutrophils (PMN, PML, or PMNL) because of the varying shapes of the nucleus, which is usually lobed into three segments. This distinguishes them from the mononuclear </w:t>
      </w:r>
      <w:proofErr w:type="spellStart"/>
      <w:r>
        <w:rPr>
          <w:rFonts w:eastAsia="함초롬바탕"/>
        </w:rPr>
        <w:t>agranulocytes</w:t>
      </w:r>
      <w:proofErr w:type="spellEnd"/>
      <w:r>
        <w:rPr>
          <w:rFonts w:eastAsia="함초롬바탕"/>
        </w:rPr>
        <w:t xml:space="preserve">. In common parlance, the term </w:t>
      </w:r>
      <w:proofErr w:type="spellStart"/>
      <w:r>
        <w:rPr>
          <w:rFonts w:eastAsia="함초롬바탕"/>
        </w:rPr>
        <w:t>polymorphonuclear</w:t>
      </w:r>
      <w:proofErr w:type="spellEnd"/>
      <w:r>
        <w:rPr>
          <w:rFonts w:eastAsia="함초롬바탕"/>
        </w:rPr>
        <w:t xml:space="preserve"> leukocyte often refers </w:t>
      </w:r>
      <w:r>
        <w:rPr>
          <w:rFonts w:eastAsia="함초롬바탕"/>
        </w:rPr>
        <w:lastRenderedPageBreak/>
        <w:t>specifically to "neutrophil granulocytes"</w:t>
      </w:r>
      <w:proofErr w:type="gramStart"/>
      <w:r>
        <w:rPr>
          <w:rFonts w:eastAsia="함초롬바탕"/>
        </w:rPr>
        <w:t>,[</w:t>
      </w:r>
      <w:proofErr w:type="gramEnd"/>
      <w:r>
        <w:rPr>
          <w:rFonts w:eastAsia="함초롬바탕"/>
        </w:rPr>
        <w:t xml:space="preserve">2] the most abundant of the granulocytes; the other types (eosinophils, basophils, and mast cells) have lower numbers. Granulocytes are produced via </w:t>
      </w:r>
      <w:proofErr w:type="spellStart"/>
      <w:r>
        <w:rPr>
          <w:rFonts w:eastAsia="함초롬바탕"/>
        </w:rPr>
        <w:t>granulopoiesis</w:t>
      </w:r>
      <w:proofErr w:type="spellEnd"/>
      <w:r>
        <w:rPr>
          <w:rFonts w:eastAsia="함초롬바탕"/>
        </w:rPr>
        <w:t xml:space="preserve"> in the bone marrow.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r>
        <w:rPr>
          <w:rFonts w:eastAsia="함초롬바탕"/>
        </w:rPr>
        <w:t>Examples of toxic materials produced or released by degranulation by granulocytes on the ingestion of microorganisms are: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r>
        <w:rPr>
          <w:rFonts w:eastAsia="함초롬바탕"/>
        </w:rPr>
        <w:t>Antimicrobial agents (</w:t>
      </w:r>
      <w:proofErr w:type="spellStart"/>
      <w:r>
        <w:rPr>
          <w:rFonts w:eastAsia="함초롬바탕"/>
        </w:rPr>
        <w:t>Defensins</w:t>
      </w:r>
      <w:proofErr w:type="spellEnd"/>
      <w:r>
        <w:rPr>
          <w:rFonts w:eastAsia="함초롬바탕"/>
        </w:rPr>
        <w:t xml:space="preserve"> and Eosinophil cationic protein)</w:t>
      </w:r>
    </w:p>
    <w:p w:rsidR="00F63585" w:rsidRDefault="00F63585" w:rsidP="00F63585">
      <w:pPr>
        <w:pStyle w:val="a3"/>
      </w:pPr>
      <w:r>
        <w:rPr>
          <w:rFonts w:eastAsia="함초롬바탕"/>
        </w:rPr>
        <w:t>Enzymes</w:t>
      </w:r>
    </w:p>
    <w:p w:rsidR="00F63585" w:rsidRDefault="00F63585" w:rsidP="00F63585">
      <w:pPr>
        <w:pStyle w:val="a3"/>
      </w:pPr>
      <w:r>
        <w:rPr>
          <w:rFonts w:eastAsia="함초롬바탕"/>
        </w:rPr>
        <w:t>Acid hydrolases: further digest bacteria</w:t>
      </w:r>
    </w:p>
    <w:p w:rsidR="00F63585" w:rsidRDefault="00F63585" w:rsidP="00F63585">
      <w:pPr>
        <w:pStyle w:val="a3"/>
      </w:pPr>
      <w:r>
        <w:rPr>
          <w:rFonts w:eastAsia="함초롬바탕"/>
        </w:rPr>
        <w:t>Lysozyme: dissolves cell walls of some gram-positive bacteria</w:t>
      </w:r>
    </w:p>
    <w:p w:rsidR="00F63585" w:rsidRDefault="00F63585" w:rsidP="00F63585">
      <w:pPr>
        <w:pStyle w:val="a3"/>
      </w:pPr>
      <w:r>
        <w:rPr>
          <w:rFonts w:eastAsia="함초롬바탕"/>
        </w:rPr>
        <w:t>Low pH vesicles (3.5-4.0)</w:t>
      </w:r>
    </w:p>
    <w:p w:rsidR="00F63585" w:rsidRDefault="00F63585" w:rsidP="00F63585">
      <w:pPr>
        <w:pStyle w:val="a3"/>
      </w:pPr>
      <w:r>
        <w:rPr>
          <w:rFonts w:eastAsia="함초롬바탕"/>
        </w:rPr>
        <w:t>Toxic nitrogen oxides (nitric oxide)</w:t>
      </w:r>
    </w:p>
    <w:p w:rsidR="00F63585" w:rsidRDefault="00F63585" w:rsidP="00F63585">
      <w:pPr>
        <w:pStyle w:val="a3"/>
      </w:pPr>
      <w:r>
        <w:rPr>
          <w:rFonts w:eastAsia="함초롬바탕"/>
        </w:rPr>
        <w:t xml:space="preserve">Toxic oxygen-derived products (e.g., superoxide, hydrogen peroxide, </w:t>
      </w:r>
      <w:proofErr w:type="spellStart"/>
      <w:r>
        <w:rPr>
          <w:rFonts w:eastAsia="함초롬바탕"/>
        </w:rPr>
        <w:t>hydroxy</w:t>
      </w:r>
      <w:proofErr w:type="spellEnd"/>
      <w:r>
        <w:rPr>
          <w:rFonts w:eastAsia="함초롬바탕"/>
        </w:rPr>
        <w:t xml:space="preserve"> radicals, singlet oxygen, </w:t>
      </w:r>
      <w:proofErr w:type="spellStart"/>
      <w:r>
        <w:rPr>
          <w:rFonts w:eastAsia="함초롬바탕"/>
        </w:rPr>
        <w:t>hypohalite</w:t>
      </w:r>
      <w:proofErr w:type="spellEnd"/>
      <w:r>
        <w:rPr>
          <w:rFonts w:eastAsia="함초롬바탕"/>
        </w:rPr>
        <w:t>)</w:t>
      </w:r>
    </w:p>
    <w:p w:rsidR="00F63585" w:rsidRDefault="00F63585" w:rsidP="00F63585">
      <w:pPr>
        <w:pStyle w:val="a3"/>
      </w:pPr>
    </w:p>
    <w:p w:rsidR="00F63585" w:rsidRDefault="00F63585" w:rsidP="00F63585">
      <w:pPr>
        <w:pStyle w:val="a3"/>
      </w:pPr>
      <w:proofErr w:type="spellStart"/>
      <w:r>
        <w:rPr>
          <w:rFonts w:eastAsia="함초롬바탕"/>
        </w:rPr>
        <w:t>Agranulocytes</w:t>
      </w:r>
      <w:proofErr w:type="spellEnd"/>
      <w:r>
        <w:rPr>
          <w:rFonts w:eastAsia="함초롬바탕"/>
        </w:rPr>
        <w:t xml:space="preserve"> or </w:t>
      </w:r>
      <w:proofErr w:type="spellStart"/>
      <w:r>
        <w:rPr>
          <w:rFonts w:eastAsia="함초롬바탕"/>
        </w:rPr>
        <w:t>nongranulocytes</w:t>
      </w:r>
      <w:proofErr w:type="spellEnd"/>
      <w:r>
        <w:rPr>
          <w:rFonts w:eastAsia="함초롬바탕"/>
        </w:rPr>
        <w:t xml:space="preserve">, also mononuclear leukocytes, are one of the two types of white blood cells, also known as leukocytes. The other type of white blood cells are known as granulocytes. </w:t>
      </w:r>
      <w:proofErr w:type="spellStart"/>
      <w:r>
        <w:rPr>
          <w:rFonts w:eastAsia="함초롬바탕"/>
        </w:rPr>
        <w:t>Agranular</w:t>
      </w:r>
      <w:proofErr w:type="spellEnd"/>
      <w:r>
        <w:rPr>
          <w:rFonts w:eastAsia="함초롬바탕"/>
        </w:rPr>
        <w:t xml:space="preserve"> cells are noted by the absence of granules in their cytoplasm, which distinguishes them from granulocytes. The two types of </w:t>
      </w:r>
      <w:proofErr w:type="spellStart"/>
      <w:r>
        <w:rPr>
          <w:rFonts w:eastAsia="함초롬바탕"/>
        </w:rPr>
        <w:t>agranulocytes</w:t>
      </w:r>
      <w:proofErr w:type="spellEnd"/>
      <w:r>
        <w:rPr>
          <w:rFonts w:eastAsia="함초롬바탕"/>
        </w:rPr>
        <w:t xml:space="preserve"> in the blood circulation are lymphocytes and monocytes, and these make up about 35% of the hematologic blood </w:t>
      </w:r>
      <w:proofErr w:type="gramStart"/>
      <w:r>
        <w:rPr>
          <w:rFonts w:eastAsia="함초롬바탕"/>
        </w:rPr>
        <w:t>values[</w:t>
      </w:r>
      <w:proofErr w:type="gramEnd"/>
      <w:r>
        <w:rPr>
          <w:rFonts w:eastAsia="함초롬바탕"/>
        </w:rPr>
        <w:t xml:space="preserve">1]. A third type of </w:t>
      </w:r>
      <w:proofErr w:type="spellStart"/>
      <w:r>
        <w:rPr>
          <w:rFonts w:eastAsia="함초롬바탕"/>
        </w:rPr>
        <w:t>agranulocyte</w:t>
      </w:r>
      <w:proofErr w:type="spellEnd"/>
      <w:r>
        <w:rPr>
          <w:rFonts w:eastAsia="함초롬바탕"/>
        </w:rPr>
        <w:t>, the macrophage, is formed in the tissue when monocytes leave the circulation and differentiate into macrophages.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Interferons</w:t>
      </w:r>
      <w:r>
        <w:rPr>
          <w:rFonts w:ascii="Arial" w:eastAsia="Arial" w:hAnsi="Arial" w:cs="Arial"/>
          <w:color w:val="222222"/>
          <w:sz w:val="21"/>
          <w:szCs w:val="21"/>
        </w:rPr>
        <w:t> (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IFN</w:t>
      </w:r>
      <w:r>
        <w:rPr>
          <w:rFonts w:ascii="Arial" w:eastAsia="Arial" w:hAnsi="Arial" w:cs="Arial"/>
          <w:color w:val="222222"/>
          <w:sz w:val="21"/>
          <w:szCs w:val="21"/>
        </w:rPr>
        <w:t>s) are a group of </w:t>
      </w:r>
      <w:hyperlink r:id="rId4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signaling proteins</w:t>
        </w:r>
      </w:hyperlink>
      <w:r>
        <w:rPr>
          <w:rFonts w:eastAsia="Arial"/>
          <w:color w:val="222222"/>
          <w:sz w:val="21"/>
          <w:szCs w:val="21"/>
          <w:vertAlign w:val="superscript"/>
        </w:rPr>
        <w:t xml:space="preserve"> </w:t>
      </w:r>
      <w:hyperlink r:id="rId5" w:anchor="cite_note-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[1]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made and released by </w:t>
      </w:r>
      <w:hyperlink r:id="rId6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host 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in response to the presence of several </w:t>
      </w:r>
      <w:hyperlink r:id="rId7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viruses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In a typical scenario, a virus-infected cell will release interferons causing nearby </w:t>
      </w:r>
      <w:hyperlink r:id="rId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to heighten their anti-viral defenses.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IFNs belong to the large class of </w:t>
      </w:r>
      <w:hyperlink r:id="rId9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proteins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known as </w:t>
      </w:r>
      <w:hyperlink r:id="rId1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cytokines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 molecules used for communication between cells to trigger the protective defenses of the </w:t>
      </w:r>
      <w:hyperlink r:id="rId1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immune system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that help eradicate pathogens.</w:t>
      </w:r>
      <w:hyperlink r:id="rId12" w:anchor="cite_note-Cohen_and_Parkin-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[2]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Interferons are named for their ability to "interfere" with </w:t>
      </w:r>
      <w:hyperlink r:id="rId1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viral replication</w:t>
        </w:r>
      </w:hyperlink>
      <w:r>
        <w:rPr>
          <w:rFonts w:eastAsia="Arial"/>
          <w:color w:val="222222"/>
          <w:sz w:val="21"/>
          <w:szCs w:val="21"/>
          <w:vertAlign w:val="superscript"/>
        </w:rPr>
        <w:t xml:space="preserve"> </w:t>
      </w:r>
      <w:hyperlink r:id="rId14" w:anchor="cite_note-Cohen_and_Parkin-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[2]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by protecting cells from </w:t>
      </w:r>
      <w:hyperlink r:id="rId15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virus infections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IFNs also have various other functions: they activate </w:t>
      </w:r>
      <w:hyperlink r:id="rId16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immune 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 such as </w:t>
      </w:r>
      <w:hyperlink r:id="rId17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natural killer 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 </w:t>
      </w:r>
      <w:hyperlink r:id="rId1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macrophages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; they increase host defenses by up-regulating </w:t>
      </w:r>
      <w:hyperlink r:id="rId19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antigen presentation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by virtue of increasing the expression of </w:t>
      </w:r>
      <w:hyperlink r:id="rId2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major histocompatibility complex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(MHC) </w:t>
      </w:r>
      <w:hyperlink r:id="rId2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antigens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Certain symptoms of infections, such as </w:t>
      </w:r>
      <w:hyperlink r:id="rId2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fever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 </w:t>
      </w:r>
      <w:hyperlink r:id="rId2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muscle pain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 "flu-like symptoms", are also caused by the production of IFNs and other </w:t>
      </w:r>
      <w:hyperlink r:id="rId24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cytokines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>More than twenty distinct IFN genes and proteins have been identified in animals, including humans. They are typically divided among three classes: Type I IFN, Type II IFN, and Type III IFN. IFNs belonging to all three classes are important for fighting </w:t>
      </w:r>
      <w:hyperlink r:id="rId25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viral infections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 for the regulation of the immune system.</w:t>
      </w: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</w:pPr>
      <w:r>
        <w:rPr>
          <w:rFonts w:ascii="굴림" w:hint="eastAsia"/>
          <w:b/>
          <w:bCs/>
        </w:rPr>
        <w:t>Hairy cell leukemia</w:t>
      </w:r>
      <w:r>
        <w:rPr>
          <w:rFonts w:ascii="Arial" w:eastAsia="Arial" w:hAnsi="Arial" w:cs="Arial"/>
          <w:color w:val="222222"/>
          <w:sz w:val="24"/>
          <w:szCs w:val="24"/>
        </w:rPr>
        <w:t> is a rare, slow-growing cancer of the blood in which your bone marrow makes too many B </w:t>
      </w:r>
      <w:r>
        <w:rPr>
          <w:rFonts w:ascii="굴림" w:hint="eastAsia"/>
          <w:b/>
          <w:bCs/>
        </w:rPr>
        <w:t>cells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 (lymphocytes), a type of white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blood</w:t>
      </w:r>
      <w:r>
        <w:rPr>
          <w:rFonts w:ascii="굴림" w:hint="eastAsia"/>
          <w:b/>
          <w:bCs/>
        </w:rPr>
        <w:t>cell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 that fights infection. These excess B </w:t>
      </w:r>
      <w:r>
        <w:rPr>
          <w:rFonts w:ascii="굴림" w:hint="eastAsia"/>
          <w:b/>
          <w:bCs/>
        </w:rPr>
        <w:t>cells</w:t>
      </w:r>
      <w:r>
        <w:rPr>
          <w:rFonts w:ascii="Arial" w:eastAsia="Arial" w:hAnsi="Arial" w:cs="Arial"/>
          <w:color w:val="222222"/>
          <w:sz w:val="24"/>
          <w:szCs w:val="24"/>
        </w:rPr>
        <w:t> are abnormal and look "</w:t>
      </w:r>
      <w:r>
        <w:rPr>
          <w:rFonts w:ascii="굴림" w:hint="eastAsia"/>
          <w:b/>
          <w:bCs/>
        </w:rPr>
        <w:t>hairy</w:t>
      </w:r>
      <w:r>
        <w:rPr>
          <w:rFonts w:ascii="Arial" w:eastAsia="Arial" w:hAnsi="Arial" w:cs="Arial"/>
          <w:color w:val="222222"/>
          <w:sz w:val="24"/>
          <w:szCs w:val="24"/>
        </w:rPr>
        <w:t>" under a microscope</w:t>
      </w: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  <w:r>
        <w:rPr>
          <w:noProof/>
          <w:color w:val="22222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3354705</wp:posOffset>
            </wp:positionH>
            <wp:positionV relativeFrom="page">
              <wp:posOffset>7179945</wp:posOffset>
            </wp:positionV>
            <wp:extent cx="1772285" cy="1281430"/>
            <wp:effectExtent l="0" t="0" r="0" b="0"/>
            <wp:wrapSquare wrapText="bothSides"/>
            <wp:docPr id="7" name="그림 7" descr="EMB00001e90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778392" descr="EMB00001e9007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</w:pPr>
      <w:r>
        <w:rPr>
          <w:rFonts w:ascii="굴림" w:hint="eastAsia"/>
          <w:b/>
          <w:bCs/>
        </w:rPr>
        <w:lastRenderedPageBreak/>
        <w:t>C</w:t>
      </w:r>
      <w:r>
        <w:rPr>
          <w:rFonts w:ascii="Arial" w:eastAsia="Arial" w:hAnsi="Arial" w:cs="Arial"/>
          <w:color w:val="222222"/>
          <w:sz w:val="24"/>
          <w:szCs w:val="24"/>
        </w:rPr>
        <w:t>-</w:t>
      </w:r>
      <w:r>
        <w:rPr>
          <w:rFonts w:ascii="굴림" w:hint="eastAsia"/>
          <w:b/>
          <w:bCs/>
        </w:rPr>
        <w:t>reactive protein</w:t>
      </w:r>
      <w:r>
        <w:rPr>
          <w:rFonts w:ascii="Arial" w:eastAsia="Arial" w:hAnsi="Arial" w:cs="Arial"/>
          <w:color w:val="222222"/>
          <w:sz w:val="24"/>
          <w:szCs w:val="24"/>
        </w:rPr>
        <w:t> (</w:t>
      </w:r>
      <w:r>
        <w:rPr>
          <w:rFonts w:ascii="굴림" w:hint="eastAsia"/>
          <w:b/>
          <w:bCs/>
        </w:rPr>
        <w:t>CRP</w:t>
      </w:r>
      <w:r>
        <w:rPr>
          <w:rFonts w:ascii="Arial" w:eastAsia="Arial" w:hAnsi="Arial" w:cs="Arial"/>
          <w:color w:val="222222"/>
          <w:sz w:val="24"/>
          <w:szCs w:val="24"/>
        </w:rPr>
        <w:t>) is a blood test marker for inflammation in the body. </w:t>
      </w:r>
      <w:r>
        <w:rPr>
          <w:rFonts w:ascii="굴림" w:hint="eastAsia"/>
          <w:b/>
          <w:bCs/>
        </w:rPr>
        <w:t>CRP</w:t>
      </w:r>
      <w:r>
        <w:rPr>
          <w:rFonts w:ascii="Arial" w:eastAsia="Arial" w:hAnsi="Arial" w:cs="Arial"/>
          <w:color w:val="222222"/>
          <w:sz w:val="24"/>
          <w:szCs w:val="24"/>
        </w:rPr>
        <w:t> is produced in the liver and its level is measured by testing the blood. </w:t>
      </w:r>
      <w:r>
        <w:rPr>
          <w:rFonts w:ascii="굴림" w:hint="eastAsia"/>
          <w:b/>
          <w:bCs/>
        </w:rPr>
        <w:t>CRP</w:t>
      </w:r>
      <w:r>
        <w:rPr>
          <w:rFonts w:ascii="Arial" w:eastAsia="Arial" w:hAnsi="Arial" w:cs="Arial"/>
          <w:color w:val="222222"/>
          <w:sz w:val="24"/>
          <w:szCs w:val="24"/>
        </w:rPr>
        <w:t> is classified as an acute phase reactant, which means that its levels will rise in response to inflammation</w:t>
      </w: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1153160</wp:posOffset>
            </wp:positionH>
            <wp:positionV relativeFrom="page">
              <wp:posOffset>1716405</wp:posOffset>
            </wp:positionV>
            <wp:extent cx="1280160" cy="960120"/>
            <wp:effectExtent l="0" t="0" r="0" b="0"/>
            <wp:wrapSquare wrapText="bothSides"/>
            <wp:docPr id="6" name="그림 6" descr="EMB00001e90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781128" descr="EMB00001e9007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jc w:val="left"/>
        <w:rPr>
          <w:color w:val="222222"/>
          <w:sz w:val="24"/>
          <w:szCs w:val="24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b/>
          <w:bCs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b/>
          <w:bCs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b/>
          <w:bCs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b/>
          <w:bCs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굴림" w:hint="eastAsia"/>
          <w:b/>
          <w:bCs/>
        </w:rPr>
        <w:t>C-reactive protein</w:t>
      </w:r>
      <w:r>
        <w:rPr>
          <w:rFonts w:ascii="Arial" w:eastAsia="Arial" w:hAnsi="Arial" w:cs="Arial"/>
          <w:color w:val="222222"/>
          <w:sz w:val="21"/>
          <w:szCs w:val="21"/>
        </w:rPr>
        <w:t> (</w:t>
      </w:r>
      <w:r>
        <w:rPr>
          <w:rFonts w:ascii="굴림" w:hint="eastAsia"/>
          <w:b/>
          <w:bCs/>
        </w:rPr>
        <w:t>CRP</w:t>
      </w:r>
      <w:r>
        <w:rPr>
          <w:rFonts w:ascii="Arial" w:eastAsia="Arial" w:hAnsi="Arial" w:cs="Arial"/>
          <w:color w:val="222222"/>
          <w:sz w:val="21"/>
          <w:szCs w:val="21"/>
        </w:rPr>
        <w:t>) is an annular (ring-shaped), </w:t>
      </w:r>
      <w:proofErr w:type="spellStart"/>
      <w:r>
        <w:fldChar w:fldCharType="begin"/>
      </w:r>
      <w:r>
        <w:instrText xml:space="preserve"> HYPERLINK "https://en.wikipedia.org/wiki/Pentameric_protein" </w:instrText>
      </w:r>
      <w:r>
        <w:fldChar w:fldCharType="separate"/>
      </w:r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>pentameric</w:t>
      </w:r>
      <w:proofErr w:type="spellEnd"/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 xml:space="preserve"> protein</w:t>
      </w:r>
      <w:r>
        <w:fldChar w:fldCharType="end"/>
      </w:r>
      <w:r>
        <w:rPr>
          <w:rFonts w:ascii="Arial" w:eastAsia="Arial" w:hAnsi="Arial" w:cs="Arial"/>
          <w:color w:val="222222"/>
          <w:sz w:val="21"/>
          <w:szCs w:val="21"/>
        </w:rPr>
        <w:t> found in </w:t>
      </w:r>
      <w:hyperlink r:id="rId2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blood plasma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 whose levels rise in response to </w:t>
      </w:r>
      <w:hyperlink r:id="rId29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inflammation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It is an </w:t>
      </w:r>
      <w:hyperlink r:id="rId3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acute-phase protein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of hepatic origin that increases following </w:t>
      </w:r>
      <w:hyperlink r:id="rId3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interleukin-6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secretion by </w:t>
      </w:r>
      <w:hyperlink r:id="rId3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macrophages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 </w:t>
      </w:r>
      <w:hyperlink r:id="rId3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T 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Its physiological role is to bind to </w:t>
      </w:r>
      <w:proofErr w:type="spellStart"/>
      <w:r>
        <w:fldChar w:fldCharType="begin"/>
      </w:r>
      <w:r>
        <w:instrText xml:space="preserve"> HYPERLINK "https://en.wikipedia.org/wiki/Lysophosphatidylcholine" </w:instrText>
      </w:r>
      <w:r>
        <w:fldChar w:fldCharType="separate"/>
      </w:r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>lysophosphatidylcholine</w:t>
      </w:r>
      <w:proofErr w:type="spellEnd"/>
      <w:r>
        <w:fldChar w:fldCharType="end"/>
      </w:r>
      <w:r>
        <w:rPr>
          <w:rFonts w:ascii="Arial" w:eastAsia="Arial" w:hAnsi="Arial" w:cs="Arial"/>
          <w:color w:val="222222"/>
          <w:sz w:val="21"/>
          <w:szCs w:val="21"/>
        </w:rPr>
        <w:t> expressed on the surface of dead or dying cells (and some types of bacteria) in order to activate the </w:t>
      </w:r>
      <w:hyperlink r:id="rId34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complement system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via </w:t>
      </w:r>
      <w:hyperlink r:id="rId35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C1q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  <w:hyperlink r:id="rId36" w:anchor="cite_note-pmid10368284-5" w:history="1">
        <w:r>
          <w:rPr>
            <w:rStyle w:val="a4"/>
            <w:rFonts w:ascii="굴림" w:hint="eastAsia"/>
            <w:color w:val="0B0080"/>
            <w:u w:color="0000FF"/>
            <w:vertAlign w:val="superscript"/>
          </w:rPr>
          <w:t>[5]</w:t>
        </w:r>
      </w:hyperlink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0B0080"/>
          <w:vertAlign w:val="superscript"/>
        </w:rPr>
      </w:pPr>
    </w:p>
    <w:p w:rsidR="00F63585" w:rsidRDefault="00F63585" w:rsidP="00F63585">
      <w:pPr>
        <w:pStyle w:val="a3"/>
        <w:spacing w:line="288" w:lineRule="auto"/>
        <w:ind w:left="42" w:right="42"/>
      </w:pPr>
      <w:proofErr w:type="gramStart"/>
      <w:r>
        <w:rPr>
          <w:rFonts w:ascii="굴림" w:hint="eastAsia"/>
          <w:sz w:val="36"/>
          <w:szCs w:val="36"/>
        </w:rPr>
        <w:t>Function</w:t>
      </w:r>
      <w:r>
        <w:rPr>
          <w:rFonts w:ascii="Arial" w:eastAsia="Arial" w:hAnsi="Arial" w:cs="Arial"/>
          <w:color w:val="54595D"/>
          <w:sz w:val="17"/>
          <w:szCs w:val="17"/>
        </w:rPr>
        <w:t>[</w:t>
      </w:r>
      <w:proofErr w:type="gramEnd"/>
      <w:r>
        <w:fldChar w:fldCharType="begin"/>
      </w:r>
      <w:r>
        <w:instrText xml:space="preserve"> HYPERLINK "https://en.wikipedia.org/w/index.php?title=C-reactive_protein&amp;action=edit&amp;section=3" </w:instrText>
      </w:r>
      <w:r>
        <w:fldChar w:fldCharType="separate"/>
      </w:r>
      <w:r>
        <w:rPr>
          <w:rStyle w:val="a4"/>
          <w:rFonts w:ascii="Arial" w:eastAsia="Arial" w:hAnsi="Arial" w:cs="Arial"/>
          <w:color w:val="0B0080"/>
          <w:sz w:val="17"/>
          <w:szCs w:val="17"/>
          <w:u w:color="0000FF"/>
        </w:rPr>
        <w:t>edit</w:t>
      </w:r>
      <w:r>
        <w:fldChar w:fldCharType="end"/>
      </w:r>
      <w:r>
        <w:rPr>
          <w:rFonts w:ascii="Arial" w:eastAsia="Arial" w:hAnsi="Arial" w:cs="Arial"/>
          <w:color w:val="54595D"/>
          <w:sz w:val="17"/>
          <w:szCs w:val="17"/>
        </w:rPr>
        <w:t>]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>CRP binds to the </w:t>
      </w:r>
      <w:proofErr w:type="spellStart"/>
      <w:r>
        <w:fldChar w:fldCharType="begin"/>
      </w:r>
      <w:r>
        <w:instrText xml:space="preserve"> HYPERLINK "https://en.wikipedia.org/wiki/Phosphocholine" </w:instrText>
      </w:r>
      <w:r>
        <w:fldChar w:fldCharType="separate"/>
      </w:r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>phosphocholine</w:t>
      </w:r>
      <w:proofErr w:type="spellEnd"/>
      <w:r>
        <w:fldChar w:fldCharType="end"/>
      </w:r>
      <w:r>
        <w:rPr>
          <w:rFonts w:ascii="Arial" w:eastAsia="Arial" w:hAnsi="Arial" w:cs="Arial"/>
          <w:color w:val="222222"/>
          <w:sz w:val="21"/>
          <w:szCs w:val="21"/>
        </w:rPr>
        <w:t> expressed on the surface of dead or dying cells and some bacteria. This activates the </w:t>
      </w:r>
      <w:hyperlink r:id="rId37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complement system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 promoting </w:t>
      </w:r>
      <w:hyperlink r:id="rId3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phagocytosis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by macrophages, which clears necrotic and apoptotic cells and bacteria.</w:t>
      </w:r>
      <w:hyperlink r:id="rId39" w:anchor="cite_note-Bray_2016-1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[13]</w:t>
        </w:r>
      </w:hyperlink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>This so-called </w:t>
      </w:r>
      <w:hyperlink r:id="rId4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acute phase response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occurs as a result of a rise in the concentration of </w:t>
      </w:r>
      <w:hyperlink r:id="rId4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IL-6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, which is produced by </w:t>
      </w:r>
      <w:hyperlink r:id="rId4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macrophages</w:t>
        </w:r>
      </w:hyperlink>
      <w:r>
        <w:rPr>
          <w:rFonts w:eastAsia="Arial"/>
          <w:color w:val="222222"/>
          <w:sz w:val="21"/>
          <w:szCs w:val="21"/>
          <w:vertAlign w:val="superscript"/>
        </w:rPr>
        <w:t xml:space="preserve"> </w:t>
      </w:r>
      <w:hyperlink r:id="rId43" w:anchor="cite_note-Pepys-6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[6]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as well as </w:t>
      </w:r>
      <w:hyperlink r:id="rId44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adipocytes</w:t>
        </w:r>
      </w:hyperlink>
      <w:r>
        <w:rPr>
          <w:rFonts w:eastAsia="Arial"/>
          <w:color w:val="222222"/>
          <w:sz w:val="21"/>
          <w:szCs w:val="21"/>
          <w:vertAlign w:val="superscript"/>
        </w:rPr>
        <w:t xml:space="preserve"> </w:t>
      </w:r>
      <w:hyperlink r:id="rId45" w:anchor="cite_note-Lau-7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[7]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in response to a wide range of acute and chronic inflammatory conditions such as bacterial, viral, or fungal infections; rheumatic and other inflammatory diseases; malignancy; and tissue injury and necrosis. These conditions cause release of </w:t>
      </w:r>
      <w:hyperlink r:id="rId46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interleukin-6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 other cytokines that trigger the synthesis of CRP and fibrinogen by the liver.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 xml:space="preserve">CRP binds to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phosphocholine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on micro-organisms. It is thought to assist in </w:t>
      </w:r>
      <w:hyperlink r:id="rId47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complement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binding to foreign and damaged cells and enhances phagocytosis by macrophages (</w:t>
      </w:r>
      <w:proofErr w:type="spellStart"/>
      <w:r>
        <w:fldChar w:fldCharType="begin"/>
      </w:r>
      <w:r>
        <w:instrText xml:space="preserve"> HYPERLINK "https://en.wikipedia.org/wiki/Opsonin" </w:instrText>
      </w:r>
      <w:r>
        <w:fldChar w:fldCharType="separate"/>
      </w:r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>opsonin</w:t>
      </w:r>
      <w:proofErr w:type="spellEnd"/>
      <w:r>
        <w:rPr>
          <w:rStyle w:val="a4"/>
          <w:rFonts w:ascii="Arial" w:eastAsia="Arial" w:hAnsi="Arial" w:cs="Arial"/>
          <w:color w:val="0B0080"/>
          <w:sz w:val="21"/>
          <w:szCs w:val="21"/>
          <w:u w:color="0000FF"/>
        </w:rPr>
        <w:t>-mediated phagocytosis</w:t>
      </w:r>
      <w:r>
        <w:fldChar w:fldCharType="end"/>
      </w:r>
      <w:r>
        <w:rPr>
          <w:rFonts w:ascii="Arial" w:eastAsia="Arial" w:hAnsi="Arial" w:cs="Arial"/>
          <w:color w:val="222222"/>
          <w:sz w:val="21"/>
          <w:szCs w:val="21"/>
        </w:rPr>
        <w:t>), which express a receptor for CRP. It plays a role in </w:t>
      </w:r>
      <w:hyperlink r:id="rId4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innate immunity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as an early defense system against infections.</w:t>
      </w:r>
      <w:hyperlink r:id="rId49" w:anchor="cite_note-Bray_2016-1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  <w:vertAlign w:val="superscript"/>
          </w:rPr>
          <w:t>[1</w:t>
        </w:r>
      </w:hyperlink>
    </w:p>
    <w:p w:rsidR="00F63585" w:rsidRDefault="00F63585" w:rsidP="00F63585">
      <w:pPr>
        <w:pStyle w:val="a3"/>
        <w:shd w:val="clear" w:color="auto" w:fill="FFFFFF"/>
        <w:rPr>
          <w:color w:val="0B0080"/>
          <w:sz w:val="21"/>
          <w:szCs w:val="21"/>
          <w:vertAlign w:val="superscript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굴림" w:hint="eastAsia"/>
          <w:b/>
          <w:bCs/>
        </w:rPr>
        <w:t>Mannose-binding lectin</w:t>
      </w:r>
      <w:r>
        <w:rPr>
          <w:rFonts w:ascii="Arial" w:eastAsia="Arial" w:hAnsi="Arial" w:cs="Arial"/>
          <w:color w:val="222222"/>
          <w:sz w:val="21"/>
          <w:szCs w:val="21"/>
        </w:rPr>
        <w:t> (</w:t>
      </w:r>
      <w:r>
        <w:rPr>
          <w:rFonts w:ascii="굴림" w:hint="eastAsia"/>
          <w:b/>
          <w:bCs/>
        </w:rPr>
        <w:t>MBL</w:t>
      </w:r>
      <w:r>
        <w:rPr>
          <w:rFonts w:ascii="Arial" w:eastAsia="Arial" w:hAnsi="Arial" w:cs="Arial"/>
          <w:color w:val="222222"/>
          <w:sz w:val="21"/>
          <w:szCs w:val="21"/>
        </w:rPr>
        <w:t>), also called </w:t>
      </w:r>
      <w:proofErr w:type="spellStart"/>
      <w:r>
        <w:rPr>
          <w:rFonts w:ascii="굴림" w:hint="eastAsia"/>
          <w:b/>
          <w:bCs/>
        </w:rPr>
        <w:t>mannan</w:t>
      </w:r>
      <w:proofErr w:type="spellEnd"/>
      <w:r>
        <w:rPr>
          <w:rFonts w:ascii="굴림" w:hint="eastAsia"/>
          <w:b/>
          <w:bCs/>
        </w:rPr>
        <w:t>-binding lectin</w:t>
      </w:r>
      <w:r>
        <w:rPr>
          <w:rFonts w:ascii="Arial" w:eastAsia="Arial" w:hAnsi="Arial" w:cs="Arial"/>
          <w:color w:val="222222"/>
          <w:sz w:val="21"/>
          <w:szCs w:val="21"/>
        </w:rPr>
        <w:t> or </w:t>
      </w:r>
      <w:proofErr w:type="spellStart"/>
      <w:r>
        <w:rPr>
          <w:rFonts w:ascii="굴림" w:hint="eastAsia"/>
          <w:b/>
          <w:bCs/>
        </w:rPr>
        <w:t>mannan</w:t>
      </w:r>
      <w:proofErr w:type="spellEnd"/>
      <w:r>
        <w:rPr>
          <w:rFonts w:ascii="굴림" w:hint="eastAsia"/>
          <w:b/>
          <w:bCs/>
        </w:rPr>
        <w:t>-binding protein</w:t>
      </w:r>
      <w:r>
        <w:rPr>
          <w:rFonts w:ascii="Arial" w:eastAsia="Arial" w:hAnsi="Arial" w:cs="Arial"/>
          <w:color w:val="222222"/>
          <w:sz w:val="21"/>
          <w:szCs w:val="21"/>
        </w:rPr>
        <w:t> (</w:t>
      </w:r>
      <w:r>
        <w:rPr>
          <w:rFonts w:ascii="굴림" w:hint="eastAsia"/>
          <w:b/>
          <w:bCs/>
        </w:rPr>
        <w:t>MBP</w:t>
      </w:r>
      <w:r>
        <w:rPr>
          <w:rFonts w:ascii="Arial" w:eastAsia="Arial" w:hAnsi="Arial" w:cs="Arial"/>
          <w:color w:val="222222"/>
          <w:sz w:val="21"/>
          <w:szCs w:val="21"/>
        </w:rPr>
        <w:t>), is a </w:t>
      </w:r>
      <w:hyperlink r:id="rId5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lectin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that is instrumental in </w:t>
      </w:r>
      <w:hyperlink r:id="rId5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innate immunity</w:t>
        </w:r>
      </w:hyperlink>
      <w:r>
        <w:rPr>
          <w:vertAlign w:val="superscript"/>
        </w:rPr>
        <w:t xml:space="preserve"> </w:t>
      </w:r>
      <w:hyperlink r:id="rId52" w:anchor="cite_note-5" w:history="1">
        <w:r>
          <w:rPr>
            <w:rStyle w:val="a4"/>
            <w:rFonts w:ascii="굴림" w:hint="eastAsia"/>
            <w:color w:val="0B0080"/>
            <w:u w:color="0000FF"/>
            <w:vertAlign w:val="superscript"/>
          </w:rPr>
          <w:t>[5]</w:t>
        </w:r>
      </w:hyperlink>
      <w:r>
        <w:rPr>
          <w:vertAlign w:val="superscript"/>
        </w:rPr>
        <w:t xml:space="preserve"> </w:t>
      </w:r>
      <w:hyperlink r:id="rId53" w:anchor="cite_note-6" w:history="1">
        <w:r>
          <w:rPr>
            <w:rStyle w:val="a4"/>
            <w:rFonts w:ascii="굴림" w:hint="eastAsia"/>
            <w:color w:val="0B0080"/>
            <w:u w:color="0000FF"/>
            <w:vertAlign w:val="superscript"/>
          </w:rPr>
          <w:t>[6]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 as an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opsonin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and via </w:t>
      </w:r>
      <w:r>
        <w:rPr>
          <w:rFonts w:ascii="Arial" w:eastAsia="Arial" w:hAnsi="Arial" w:cs="Arial"/>
          <w:color w:val="222222"/>
          <w:sz w:val="21"/>
          <w:szCs w:val="21"/>
        </w:rPr>
        <w:lastRenderedPageBreak/>
        <w:t>the </w:t>
      </w:r>
      <w:hyperlink r:id="rId54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lectin pathway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 xml:space="preserve">MBL has an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oligomeric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structure (400-700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kDa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), built of subunits that contain three presumably identical peptide chains of about 30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kDa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each.</w:t>
      </w:r>
    </w:p>
    <w:p w:rsidR="00F63585" w:rsidRDefault="00F63585" w:rsidP="00F63585">
      <w:pPr>
        <w:pStyle w:val="a3"/>
        <w:shd w:val="clear" w:color="auto" w:fill="FFFFFF"/>
      </w:pPr>
      <w:r>
        <w:rPr>
          <w:rFonts w:ascii="Arial" w:eastAsia="Arial" w:hAnsi="Arial" w:cs="Arial"/>
          <w:color w:val="222222"/>
          <w:sz w:val="21"/>
          <w:szCs w:val="21"/>
        </w:rPr>
        <w:t xml:space="preserve">Although MBL can form several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oligomeric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forms, there are indications that dimers and trimers are biologically active as an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opsonin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and at least a tetramer form is needed for activation of complement</w:t>
      </w:r>
    </w:p>
    <w:p w:rsidR="00F63585" w:rsidRDefault="00F63585" w:rsidP="00F63585">
      <w:pPr>
        <w:pStyle w:val="a3"/>
        <w:shd w:val="clear" w:color="auto" w:fill="FFFFFF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Arial" w:eastAsia="Arial" w:hAnsi="Arial" w:cs="Arial"/>
          <w:color w:val="222222"/>
          <w:sz w:val="21"/>
          <w:szCs w:val="21"/>
        </w:rPr>
        <w:t>An </w:t>
      </w:r>
      <w:proofErr w:type="spellStart"/>
      <w:r>
        <w:rPr>
          <w:rFonts w:ascii="굴림" w:hint="eastAsia"/>
          <w:b/>
          <w:bCs/>
        </w:rPr>
        <w:t>opsonin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> (from the Greek </w:t>
      </w:r>
      <w:proofErr w:type="spellStart"/>
      <w:r>
        <w:rPr>
          <w:rFonts w:ascii="굴림" w:hint="eastAsia"/>
          <w:i/>
          <w:iCs/>
        </w:rPr>
        <w:t>opsōneîn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>, to prepare for eating) is any molecule that enhances </w:t>
      </w:r>
      <w:hyperlink r:id="rId55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phagocytosis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by marking an </w:t>
      </w:r>
      <w:hyperlink r:id="rId56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antigen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for an immune response or marking dead cells for recycling (i.e., causes the phagocyte to "relish" the marked cell).</w:t>
      </w:r>
      <w:hyperlink r:id="rId57" w:anchor="cite_note-1" w:history="1">
        <w:r>
          <w:rPr>
            <w:rStyle w:val="a4"/>
            <w:rFonts w:ascii="굴림" w:hint="eastAsia"/>
            <w:color w:val="0B0080"/>
            <w:u w:color="0000FF"/>
            <w:vertAlign w:val="superscript"/>
          </w:rPr>
          <w:t>[1]</w:t>
        </w:r>
      </w:hyperlink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0B0080"/>
          <w:vertAlign w:val="superscript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proofErr w:type="spellStart"/>
      <w:r>
        <w:rPr>
          <w:rFonts w:ascii="굴림" w:hint="eastAsia"/>
          <w:i/>
          <w:iCs/>
        </w:rPr>
        <w:t>Opsonization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 (also,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opsonisation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>) is the molecular mechanism whereby molecules, microbes, or apoptotic cells are chemically modified to have stronger interactions with – to be more "delicious" to – cell surface receptors on phagocytes and </w:t>
      </w:r>
      <w:hyperlink r:id="rId58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NK cells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. With the antigen coated in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opsonins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, binding to immune cells is greatly enhanced.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Opsonization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also mediates phagocytosis via signal cascades from cell surface receptors.</w:t>
      </w:r>
      <w:hyperlink r:id="rId59" w:anchor="cite_note-Zhang_19332%E2%80%9319337-2" w:history="1">
        <w:r>
          <w:rPr>
            <w:rStyle w:val="a4"/>
            <w:rFonts w:ascii="굴림" w:hint="eastAsia"/>
            <w:color w:val="0B0080"/>
            <w:u w:color="0000FF"/>
            <w:vertAlign w:val="superscript"/>
          </w:rPr>
          <w:t>[2]</w:t>
        </w:r>
      </w:hyperlink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0B0080"/>
          <w:vertAlign w:val="superscript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Arial" w:eastAsia="Arial" w:hAnsi="Arial" w:cs="Arial"/>
          <w:color w:val="222222"/>
          <w:sz w:val="21"/>
          <w:szCs w:val="21"/>
        </w:rPr>
        <w:t>The </w:t>
      </w:r>
      <w:r>
        <w:rPr>
          <w:rFonts w:ascii="굴림" w:hint="eastAsia"/>
          <w:b/>
          <w:bCs/>
        </w:rPr>
        <w:t>antigen-binding</w:t>
      </w:r>
      <w:r>
        <w:rPr>
          <w:rFonts w:ascii="Arial" w:eastAsia="Arial" w:hAnsi="Arial" w:cs="Arial"/>
          <w:color w:val="222222"/>
          <w:sz w:val="21"/>
          <w:szCs w:val="21"/>
        </w:rPr>
        <w:t> (</w:t>
      </w:r>
      <w:r>
        <w:rPr>
          <w:rFonts w:ascii="굴림" w:hint="eastAsia"/>
          <w:b/>
          <w:bCs/>
        </w:rPr>
        <w:t>Fab</w:t>
      </w:r>
      <w:r>
        <w:rPr>
          <w:rFonts w:ascii="Arial" w:eastAsia="Arial" w:hAnsi="Arial" w:cs="Arial"/>
          <w:color w:val="222222"/>
          <w:sz w:val="21"/>
          <w:szCs w:val="21"/>
        </w:rPr>
        <w:t>) </w:t>
      </w:r>
      <w:r>
        <w:rPr>
          <w:rFonts w:ascii="굴림" w:hint="eastAsia"/>
          <w:b/>
          <w:bCs/>
        </w:rPr>
        <w:t>fragment</w:t>
      </w:r>
      <w:r>
        <w:rPr>
          <w:rFonts w:ascii="Arial" w:eastAsia="Arial" w:hAnsi="Arial" w:cs="Arial"/>
          <w:color w:val="222222"/>
          <w:sz w:val="21"/>
          <w:szCs w:val="21"/>
        </w:rPr>
        <w:t> is a region on an </w:t>
      </w:r>
      <w:hyperlink r:id="rId60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antibody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that binds to </w:t>
      </w:r>
      <w:hyperlink r:id="rId61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antigens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 It is composed of one constant and one variable domain of each of the </w:t>
      </w:r>
      <w:hyperlink r:id="rId62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heavy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 and the </w:t>
      </w:r>
      <w:hyperlink r:id="rId63" w:history="1">
        <w:r>
          <w:rPr>
            <w:rStyle w:val="a4"/>
            <w:rFonts w:ascii="Arial" w:eastAsia="Arial" w:hAnsi="Arial" w:cs="Arial"/>
            <w:color w:val="0B0080"/>
            <w:sz w:val="21"/>
            <w:szCs w:val="21"/>
            <w:u w:color="0000FF"/>
          </w:rPr>
          <w:t>light chain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  <w:r>
        <w:rPr>
          <w:noProof/>
          <w:color w:val="222222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3181350</wp:posOffset>
            </wp:positionV>
            <wp:extent cx="1125220" cy="1174115"/>
            <wp:effectExtent l="0" t="0" r="0" b="6985"/>
            <wp:wrapSquare wrapText="bothSides"/>
            <wp:docPr id="5" name="그림 5" descr="EMB00001e90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796608" descr="EMB00001e9007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21"/>
          <w:szCs w:val="21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Arial" w:eastAsia="Arial" w:hAnsi="Arial" w:cs="Arial"/>
          <w:color w:val="222222"/>
          <w:sz w:val="30"/>
          <w:szCs w:val="30"/>
        </w:rPr>
        <w:t>An antibody digested by </w:t>
      </w:r>
      <w:hyperlink r:id="rId65" w:history="1">
        <w:r>
          <w:rPr>
            <w:rStyle w:val="a4"/>
            <w:rFonts w:ascii="Arial" w:eastAsia="Arial" w:hAnsi="Arial" w:cs="Arial"/>
            <w:color w:val="0B0080"/>
            <w:sz w:val="30"/>
            <w:szCs w:val="30"/>
            <w:u w:color="0000FF"/>
          </w:rPr>
          <w:t>papain</w:t>
        </w:r>
      </w:hyperlink>
      <w:r>
        <w:rPr>
          <w:rFonts w:ascii="Arial" w:eastAsia="Arial" w:hAnsi="Arial" w:cs="Arial"/>
          <w:color w:val="222222"/>
          <w:sz w:val="30"/>
          <w:szCs w:val="30"/>
        </w:rPr>
        <w:t> yields three fragments: two Fab fragments and one Fc fragment</w:t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30"/>
          <w:szCs w:val="30"/>
        </w:rPr>
      </w:pPr>
      <w:r>
        <w:rPr>
          <w:noProof/>
          <w:color w:val="222222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7818755</wp:posOffset>
            </wp:positionV>
            <wp:extent cx="3378200" cy="1997710"/>
            <wp:effectExtent l="0" t="0" r="0" b="2540"/>
            <wp:wrapSquare wrapText="bothSides"/>
            <wp:docPr id="4" name="그림 4" descr="EMB00001e90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798336" descr="EMB00001e90070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30"/>
          <w:szCs w:val="30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30"/>
          <w:szCs w:val="30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color w:val="222222"/>
          <w:sz w:val="30"/>
          <w:szCs w:val="30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proofErr w:type="spellStart"/>
      <w:r>
        <w:rPr>
          <w:rFonts w:ascii="Verdana" w:eastAsia="Verdana" w:hAnsi="Verdana"/>
          <w:sz w:val="18"/>
          <w:szCs w:val="18"/>
        </w:rPr>
        <w:t>Hybridoma</w:t>
      </w:r>
      <w:proofErr w:type="spellEnd"/>
      <w:r>
        <w:rPr>
          <w:rFonts w:ascii="Verdana" w:eastAsia="Verdana" w:hAnsi="Verdana"/>
          <w:sz w:val="18"/>
          <w:szCs w:val="18"/>
        </w:rPr>
        <w:t xml:space="preserve"> cells are selected using HAT (Hypoxanthine </w:t>
      </w:r>
      <w:proofErr w:type="spellStart"/>
      <w:r>
        <w:rPr>
          <w:rFonts w:ascii="Verdana" w:eastAsia="Verdana" w:hAnsi="Verdana"/>
          <w:sz w:val="18"/>
          <w:szCs w:val="18"/>
        </w:rPr>
        <w:t>Aminopterin</w:t>
      </w:r>
      <w:proofErr w:type="spellEnd"/>
      <w:r>
        <w:rPr>
          <w:rFonts w:ascii="Verdana" w:eastAsia="Verdana" w:hAnsi="Verdana"/>
          <w:sz w:val="18"/>
          <w:szCs w:val="18"/>
        </w:rPr>
        <w:t xml:space="preserve"> Thymidine) medium. </w:t>
      </w:r>
      <w:r>
        <w:br/>
      </w:r>
      <w:r>
        <w:br/>
      </w:r>
      <w:r>
        <w:rPr>
          <w:rFonts w:ascii="Verdana" w:eastAsia="Verdana" w:hAnsi="Verdana"/>
          <w:sz w:val="18"/>
          <w:szCs w:val="18"/>
        </w:rPr>
        <w:t xml:space="preserve">HAT selection depends on the fact that mammalian cells can synthesize nucleotides by two different pathways: the de novo and the salvage pathways. </w:t>
      </w:r>
      <w:proofErr w:type="spellStart"/>
      <w:r>
        <w:rPr>
          <w:rFonts w:ascii="Verdana" w:eastAsia="Verdana" w:hAnsi="Verdana"/>
          <w:sz w:val="18"/>
          <w:szCs w:val="18"/>
        </w:rPr>
        <w:t>Aminopterin</w:t>
      </w:r>
      <w:proofErr w:type="spellEnd"/>
      <w:r>
        <w:rPr>
          <w:rFonts w:ascii="Verdana" w:eastAsia="Verdana" w:hAnsi="Verdana"/>
          <w:sz w:val="18"/>
          <w:szCs w:val="18"/>
        </w:rPr>
        <w:t xml:space="preserve"> (a folic acid analog) blocks the de novo pathway, while hypoxanthine and thymidine allow growth via the salvage pathway. </w:t>
      </w:r>
      <w:r>
        <w:br/>
      </w:r>
      <w:r>
        <w:br/>
      </w:r>
      <w:r>
        <w:rPr>
          <w:rFonts w:ascii="Verdana" w:eastAsia="Verdana" w:hAnsi="Verdana"/>
          <w:sz w:val="18"/>
          <w:szCs w:val="18"/>
        </w:rPr>
        <w:t xml:space="preserve">Indeed, the DNA de novo synthesis (in which a methyl or formyl group is transferred from an activated from of tetrahydrofolate) is blocked by </w:t>
      </w:r>
      <w:proofErr w:type="spellStart"/>
      <w:r>
        <w:rPr>
          <w:rFonts w:ascii="Verdana" w:eastAsia="Verdana" w:hAnsi="Verdana"/>
          <w:sz w:val="18"/>
          <w:szCs w:val="18"/>
        </w:rPr>
        <w:t>Aminopterin</w:t>
      </w:r>
      <w:proofErr w:type="spellEnd"/>
      <w:r>
        <w:rPr>
          <w:rFonts w:ascii="Verdana" w:eastAsia="Verdana" w:hAnsi="Verdana"/>
          <w:sz w:val="18"/>
          <w:szCs w:val="18"/>
        </w:rPr>
        <w:t xml:space="preserve">. When the de novo pathway is blocked, cells utilize the salvage pathway, which bypasses the </w:t>
      </w:r>
      <w:proofErr w:type="spellStart"/>
      <w:r>
        <w:rPr>
          <w:rFonts w:ascii="Verdana" w:eastAsia="Verdana" w:hAnsi="Verdana"/>
          <w:sz w:val="18"/>
          <w:szCs w:val="18"/>
        </w:rPr>
        <w:t>aminopterin</w:t>
      </w:r>
      <w:proofErr w:type="spellEnd"/>
      <w:r>
        <w:rPr>
          <w:rFonts w:ascii="Verdana" w:eastAsia="Verdana" w:hAnsi="Verdana"/>
          <w:sz w:val="18"/>
          <w:szCs w:val="18"/>
        </w:rPr>
        <w:t xml:space="preserve"> block by converting purines and pyrimidines directly into DNA. The enzymes catalyzing the salvage pathway include hypoxanthine-guanine </w:t>
      </w:r>
      <w:proofErr w:type="spellStart"/>
      <w:r>
        <w:rPr>
          <w:rFonts w:ascii="Verdana" w:eastAsia="Verdana" w:hAnsi="Verdana"/>
          <w:sz w:val="18"/>
          <w:szCs w:val="18"/>
        </w:rPr>
        <w:t>phosphorribosyl</w:t>
      </w:r>
      <w:proofErr w:type="spellEnd"/>
      <w:r>
        <w:rPr>
          <w:rFonts w:ascii="Verdana" w:eastAsia="Verdana" w:hAnsi="Verdana"/>
          <w:sz w:val="18"/>
          <w:szCs w:val="18"/>
        </w:rPr>
        <w:t xml:space="preserve"> transferase (HGPRT) and thymidine kinase (TK). This pathway can convert hypoxanthine in IMP, a reaction </w:t>
      </w:r>
      <w:proofErr w:type="spellStart"/>
      <w:r>
        <w:rPr>
          <w:rFonts w:ascii="Verdana" w:eastAsia="Verdana" w:hAnsi="Verdana"/>
          <w:sz w:val="18"/>
          <w:szCs w:val="18"/>
        </w:rPr>
        <w:t>catalysed</w:t>
      </w:r>
      <w:proofErr w:type="spellEnd"/>
      <w:r>
        <w:rPr>
          <w:rFonts w:ascii="Verdana" w:eastAsia="Verdana" w:hAnsi="Verdana"/>
          <w:sz w:val="18"/>
          <w:szCs w:val="18"/>
        </w:rPr>
        <w:t xml:space="preserve"> by HGPRT. It can also convert thymidine in dTMP, a reaction </w:t>
      </w:r>
      <w:proofErr w:type="spellStart"/>
      <w:r>
        <w:rPr>
          <w:rFonts w:ascii="Verdana" w:eastAsia="Verdana" w:hAnsi="Verdana"/>
          <w:sz w:val="18"/>
          <w:szCs w:val="18"/>
        </w:rPr>
        <w:t>catalysed</w:t>
      </w:r>
      <w:proofErr w:type="spellEnd"/>
      <w:r>
        <w:rPr>
          <w:rFonts w:ascii="Verdana" w:eastAsia="Verdana" w:hAnsi="Verdana"/>
          <w:sz w:val="18"/>
          <w:szCs w:val="18"/>
        </w:rPr>
        <w:t xml:space="preserve"> by TK. </w:t>
      </w:r>
      <w:r>
        <w:br/>
      </w:r>
      <w:r>
        <w:br/>
      </w:r>
      <w:r>
        <w:rPr>
          <w:rFonts w:ascii="Verdana" w:eastAsia="Verdana" w:hAnsi="Verdana"/>
          <w:sz w:val="18"/>
          <w:szCs w:val="18"/>
        </w:rPr>
        <w:t xml:space="preserve">On this medium, only cells which have </w:t>
      </w:r>
      <w:proofErr w:type="spellStart"/>
      <w:r>
        <w:rPr>
          <w:rFonts w:ascii="Verdana" w:eastAsia="Verdana" w:hAnsi="Verdana"/>
          <w:sz w:val="18"/>
          <w:szCs w:val="18"/>
        </w:rPr>
        <w:t>functionnal</w:t>
      </w:r>
      <w:proofErr w:type="spellEnd"/>
      <w:r>
        <w:rPr>
          <w:rFonts w:ascii="Verdana" w:eastAsia="Verdana" w:hAnsi="Verdana"/>
          <w:sz w:val="18"/>
          <w:szCs w:val="18"/>
        </w:rPr>
        <w:t xml:space="preserve"> HGPRT and TK will grow via the salvage pathway. 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400675" cy="3400425"/>
            <wp:effectExtent l="0" t="0" r="9525" b="9525"/>
            <wp:docPr id="1" name="그림 1" descr="EMB00001e90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802440" descr="EMB00001e90070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Verdana" w:eastAsia="Verdana" w:hAnsi="Verdana"/>
          <w:sz w:val="18"/>
          <w:szCs w:val="18"/>
        </w:rPr>
        <w:t>Figure: Principle of HAT selection (origin: http://nfs.unipv.it/nfs/minf/dispense/immunology/lectures/files/monoclonal_antibodies.html) </w:t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1200785</wp:posOffset>
            </wp:positionH>
            <wp:positionV relativeFrom="page">
              <wp:posOffset>8241030</wp:posOffset>
            </wp:positionV>
            <wp:extent cx="2795270" cy="2450465"/>
            <wp:effectExtent l="0" t="0" r="5080" b="6985"/>
            <wp:wrapSquare wrapText="bothSides"/>
            <wp:docPr id="3" name="그림 3" descr="EMB00001e90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803664" descr="EMB00001e90070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4651375</wp:posOffset>
            </wp:positionH>
            <wp:positionV relativeFrom="page">
              <wp:posOffset>8293100</wp:posOffset>
            </wp:positionV>
            <wp:extent cx="2343150" cy="2637790"/>
            <wp:effectExtent l="0" t="0" r="0" b="0"/>
            <wp:wrapSquare wrapText="bothSides"/>
            <wp:docPr id="2" name="그림 2" descr="EMB00001e90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7805032" descr="EMB00001e90070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r>
        <w:rPr>
          <w:rFonts w:ascii="Verdana" w:eastAsia="Verdana" w:hAnsi="Verdana"/>
          <w:sz w:val="18"/>
          <w:szCs w:val="18"/>
        </w:rPr>
        <w:t xml:space="preserve">Most mammals have MHC variants similar to those of </w:t>
      </w:r>
      <w:r>
        <w:rPr>
          <w:rFonts w:ascii="Verdana" w:eastAsia="Verdana" w:hAnsi="Verdana"/>
          <w:sz w:val="18"/>
          <w:szCs w:val="18"/>
        </w:rPr>
        <w:lastRenderedPageBreak/>
        <w:t>humans, who bear great allelic diversity, especially among the nine classical genes—seemingly due largely to gene duplication—though human MHC regions have many pseudogenes. The most diverse loci, namely HLA-A, HLA-B, and HLA-DRB1, have roughly 1000, 1600, and 870 known alleles, respectively[citation needed].[26] Many HLA alleles are ancient, sometimes of closer homology to a chimpanzee MHC alleles than to some other human alleles of the same gene.</w:t>
      </w:r>
    </w:p>
    <w:p w:rsidR="00F63585" w:rsidRDefault="00F63585" w:rsidP="00F63585">
      <w:pPr>
        <w:pStyle w:val="a3"/>
        <w:shd w:val="clear" w:color="auto" w:fill="FFFFFF"/>
        <w:spacing w:line="288" w:lineRule="auto"/>
        <w:rPr>
          <w:sz w:val="18"/>
          <w:szCs w:val="18"/>
        </w:rPr>
      </w:pPr>
    </w:p>
    <w:p w:rsidR="00F63585" w:rsidRDefault="00F63585" w:rsidP="00F63585">
      <w:pPr>
        <w:pStyle w:val="a3"/>
        <w:shd w:val="clear" w:color="auto" w:fill="FFFFFF"/>
        <w:spacing w:line="288" w:lineRule="auto"/>
      </w:pPr>
      <w:proofErr w:type="spellStart"/>
      <w:r>
        <w:rPr>
          <w:rFonts w:ascii="Verdana" w:eastAsia="Verdana" w:hAnsi="Verdana"/>
          <w:sz w:val="18"/>
          <w:szCs w:val="18"/>
        </w:rPr>
        <w:t>Granzymes</w:t>
      </w:r>
      <w:proofErr w:type="spellEnd"/>
      <w:r>
        <w:rPr>
          <w:rFonts w:ascii="Verdana" w:eastAsia="Verdana" w:hAnsi="Verdana"/>
          <w:sz w:val="18"/>
          <w:szCs w:val="18"/>
        </w:rPr>
        <w:t xml:space="preserve"> are serine proteases released by cytoplasmic granules within cytotoxic T cells and natural killer (NK) cells. They induce programmed cell death (apoptosis) in the target cell, thus eliminating cells that have become cancerous or are infected with viruses or bacteria</w:t>
      </w:r>
      <w:proofErr w:type="gramStart"/>
      <w:r>
        <w:rPr>
          <w:rFonts w:ascii="Verdana" w:eastAsia="Verdana" w:hAnsi="Verdana"/>
          <w:sz w:val="18"/>
          <w:szCs w:val="18"/>
        </w:rPr>
        <w:t>.[</w:t>
      </w:r>
      <w:proofErr w:type="gramEnd"/>
      <w:r>
        <w:rPr>
          <w:rFonts w:ascii="Verdana" w:eastAsia="Verdana" w:hAnsi="Verdana"/>
          <w:sz w:val="18"/>
          <w:szCs w:val="18"/>
        </w:rPr>
        <w:t xml:space="preserve">1] </w:t>
      </w:r>
      <w:proofErr w:type="spellStart"/>
      <w:r>
        <w:rPr>
          <w:rFonts w:ascii="Verdana" w:eastAsia="Verdana" w:hAnsi="Verdana"/>
          <w:sz w:val="18"/>
          <w:szCs w:val="18"/>
        </w:rPr>
        <w:t>Granzymes</w:t>
      </w:r>
      <w:proofErr w:type="spellEnd"/>
      <w:r>
        <w:rPr>
          <w:rFonts w:ascii="Verdana" w:eastAsia="Verdana" w:hAnsi="Verdana"/>
          <w:sz w:val="18"/>
          <w:szCs w:val="18"/>
        </w:rPr>
        <w:t xml:space="preserve"> also kill bacteria[2] and inhibit viral replication. In NK cells and T cells, </w:t>
      </w:r>
      <w:proofErr w:type="spellStart"/>
      <w:r>
        <w:rPr>
          <w:rFonts w:ascii="Verdana" w:eastAsia="Verdana" w:hAnsi="Verdana"/>
          <w:sz w:val="18"/>
          <w:szCs w:val="18"/>
        </w:rPr>
        <w:t>granzymes</w:t>
      </w:r>
      <w:proofErr w:type="spellEnd"/>
      <w:r>
        <w:rPr>
          <w:rFonts w:ascii="Verdana" w:eastAsia="Verdana" w:hAnsi="Verdana"/>
          <w:sz w:val="18"/>
          <w:szCs w:val="18"/>
        </w:rPr>
        <w:t xml:space="preserve"> are packaged in cytotoxic granules with </w:t>
      </w:r>
      <w:proofErr w:type="spellStart"/>
      <w:r>
        <w:rPr>
          <w:rFonts w:ascii="Verdana" w:eastAsia="Verdana" w:hAnsi="Verdana"/>
          <w:sz w:val="18"/>
          <w:szCs w:val="18"/>
        </w:rPr>
        <w:t>perforin</w:t>
      </w:r>
      <w:proofErr w:type="spellEnd"/>
      <w:r>
        <w:rPr>
          <w:rFonts w:ascii="Verdana" w:eastAsia="Verdana" w:hAnsi="Verdana"/>
          <w:sz w:val="18"/>
          <w:szCs w:val="18"/>
        </w:rPr>
        <w:t>.</w:t>
      </w:r>
    </w:p>
    <w:p w:rsidR="003212E6" w:rsidRPr="00F63585" w:rsidRDefault="00F63585">
      <w:bookmarkStart w:id="0" w:name="_GoBack"/>
      <w:bookmarkEnd w:id="0"/>
    </w:p>
    <w:sectPr w:rsidR="003212E6" w:rsidRPr="00F635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5"/>
    <w:rsid w:val="006A1082"/>
    <w:rsid w:val="00F63585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8196D-CD46-417C-A881-D8A4A98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358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6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21" Type="http://schemas.openxmlformats.org/officeDocument/2006/relationships/hyperlink" Target="https://en.wikipedia.org/wiki/Antigens" TargetMode="External"/><Relationship Id="rId42" Type="http://schemas.openxmlformats.org/officeDocument/2006/relationships/hyperlink" Target="https://en.wikipedia.org/wiki/Macrophage" TargetMode="External"/><Relationship Id="rId47" Type="http://schemas.openxmlformats.org/officeDocument/2006/relationships/hyperlink" Target="https://en.wikipedia.org/wiki/Complement_system" TargetMode="External"/><Relationship Id="rId63" Type="http://schemas.openxmlformats.org/officeDocument/2006/relationships/hyperlink" Target="https://en.wikipedia.org/wiki/Immunoglobulin_light_chain" TargetMode="External"/><Relationship Id="rId68" Type="http://schemas.openxmlformats.org/officeDocument/2006/relationships/image" Target="media/image6.png"/><Relationship Id="rId7" Type="http://schemas.openxmlformats.org/officeDocument/2006/relationships/hyperlink" Target="https://en.wikipedia.org/wiki/Virus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mmune_cells" TargetMode="External"/><Relationship Id="rId29" Type="http://schemas.openxmlformats.org/officeDocument/2006/relationships/hyperlink" Target="https://en.wikipedia.org/wiki/Inflammation" TargetMode="External"/><Relationship Id="rId11" Type="http://schemas.openxmlformats.org/officeDocument/2006/relationships/hyperlink" Target="https://en.wikipedia.org/wiki/Immune_system" TargetMode="External"/><Relationship Id="rId24" Type="http://schemas.openxmlformats.org/officeDocument/2006/relationships/hyperlink" Target="https://en.wikipedia.org/wiki/Cytokines" TargetMode="External"/><Relationship Id="rId32" Type="http://schemas.openxmlformats.org/officeDocument/2006/relationships/hyperlink" Target="https://en.wikipedia.org/wiki/Macrophage" TargetMode="External"/><Relationship Id="rId37" Type="http://schemas.openxmlformats.org/officeDocument/2006/relationships/hyperlink" Target="https://en.wikipedia.org/wiki/Complement_system" TargetMode="External"/><Relationship Id="rId40" Type="http://schemas.openxmlformats.org/officeDocument/2006/relationships/hyperlink" Target="https://en.wikipedia.org/wiki/Acute_phase_response" TargetMode="External"/><Relationship Id="rId45" Type="http://schemas.openxmlformats.org/officeDocument/2006/relationships/hyperlink" Target="https://en.wikipedia.org/wiki/C-reactive_protein" TargetMode="External"/><Relationship Id="rId53" Type="http://schemas.openxmlformats.org/officeDocument/2006/relationships/hyperlink" Target="https://en.wikipedia.org/wiki/Mannan-binding_lectin" TargetMode="External"/><Relationship Id="rId58" Type="http://schemas.openxmlformats.org/officeDocument/2006/relationships/hyperlink" Target="https://en.wikipedia.org/wiki/Natural_killer_cells" TargetMode="External"/><Relationship Id="rId66" Type="http://schemas.openxmlformats.org/officeDocument/2006/relationships/image" Target="media/image4.png"/><Relationship Id="rId5" Type="http://schemas.openxmlformats.org/officeDocument/2006/relationships/hyperlink" Target="https://en.wikipedia.org/wiki/Interferon" TargetMode="External"/><Relationship Id="rId61" Type="http://schemas.openxmlformats.org/officeDocument/2006/relationships/hyperlink" Target="https://en.wikipedia.org/wiki/Antigen" TargetMode="External"/><Relationship Id="rId19" Type="http://schemas.openxmlformats.org/officeDocument/2006/relationships/hyperlink" Target="https://en.wikipedia.org/wiki/Antigen_presentation" TargetMode="External"/><Relationship Id="rId14" Type="http://schemas.openxmlformats.org/officeDocument/2006/relationships/hyperlink" Target="https://en.wikipedia.org/wiki/Interferon" TargetMode="External"/><Relationship Id="rId22" Type="http://schemas.openxmlformats.org/officeDocument/2006/relationships/hyperlink" Target="https://en.wikipedia.org/wiki/Fever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en.wikipedia.org/wiki/Acute-phase_protein" TargetMode="External"/><Relationship Id="rId35" Type="http://schemas.openxmlformats.org/officeDocument/2006/relationships/hyperlink" Target="https://en.wikipedia.org/wiki/C1q" TargetMode="External"/><Relationship Id="rId43" Type="http://schemas.openxmlformats.org/officeDocument/2006/relationships/hyperlink" Target="https://en.wikipedia.org/wiki/C-reactive_protein" TargetMode="External"/><Relationship Id="rId48" Type="http://schemas.openxmlformats.org/officeDocument/2006/relationships/hyperlink" Target="https://en.wikipedia.org/wiki/Innate_immunity" TargetMode="External"/><Relationship Id="rId56" Type="http://schemas.openxmlformats.org/officeDocument/2006/relationships/hyperlink" Target="https://en.wikipedia.org/wiki/Antigen" TargetMode="External"/><Relationship Id="rId64" Type="http://schemas.openxmlformats.org/officeDocument/2006/relationships/image" Target="media/image3.png"/><Relationship Id="rId69" Type="http://schemas.openxmlformats.org/officeDocument/2006/relationships/image" Target="media/image7.png"/><Relationship Id="rId8" Type="http://schemas.openxmlformats.org/officeDocument/2006/relationships/hyperlink" Target="https://en.wikipedia.org/wiki/Cells" TargetMode="External"/><Relationship Id="rId51" Type="http://schemas.openxmlformats.org/officeDocument/2006/relationships/hyperlink" Target="https://en.wikipedia.org/wiki/Innate_immuni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Interferon" TargetMode="External"/><Relationship Id="rId17" Type="http://schemas.openxmlformats.org/officeDocument/2006/relationships/hyperlink" Target="https://en.wikipedia.org/wiki/Natural_killer_cell" TargetMode="External"/><Relationship Id="rId25" Type="http://schemas.openxmlformats.org/officeDocument/2006/relationships/hyperlink" Target="https://en.wikipedia.org/wiki/Viral_infections" TargetMode="External"/><Relationship Id="rId33" Type="http://schemas.openxmlformats.org/officeDocument/2006/relationships/hyperlink" Target="https://en.wikipedia.org/wiki/T_cell" TargetMode="External"/><Relationship Id="rId38" Type="http://schemas.openxmlformats.org/officeDocument/2006/relationships/hyperlink" Target="https://en.wikipedia.org/wiki/Phagocytosis" TargetMode="External"/><Relationship Id="rId46" Type="http://schemas.openxmlformats.org/officeDocument/2006/relationships/hyperlink" Target="https://en.wikipedia.org/wiki/Interleukin-6" TargetMode="External"/><Relationship Id="rId59" Type="http://schemas.openxmlformats.org/officeDocument/2006/relationships/hyperlink" Target="https://en.wikipedia.org/wiki/Opsonin" TargetMode="External"/><Relationship Id="rId67" Type="http://schemas.openxmlformats.org/officeDocument/2006/relationships/image" Target="media/image5.png"/><Relationship Id="rId20" Type="http://schemas.openxmlformats.org/officeDocument/2006/relationships/hyperlink" Target="https://en.wikipedia.org/wiki/Major_histocompatibility_complex" TargetMode="External"/><Relationship Id="rId41" Type="http://schemas.openxmlformats.org/officeDocument/2006/relationships/hyperlink" Target="https://en.wikipedia.org/wiki/Interleukin-6" TargetMode="External"/><Relationship Id="rId54" Type="http://schemas.openxmlformats.org/officeDocument/2006/relationships/hyperlink" Target="https://en.wikipedia.org/wiki/Lectin_pathway" TargetMode="External"/><Relationship Id="rId62" Type="http://schemas.openxmlformats.org/officeDocument/2006/relationships/hyperlink" Target="https://en.wikipedia.org/wiki/Immunoglobulin_heavy_chai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st_cells" TargetMode="External"/><Relationship Id="rId15" Type="http://schemas.openxmlformats.org/officeDocument/2006/relationships/hyperlink" Target="https://en.wikipedia.org/wiki/Virus_infection" TargetMode="External"/><Relationship Id="rId23" Type="http://schemas.openxmlformats.org/officeDocument/2006/relationships/hyperlink" Target="https://en.wikipedia.org/wiki/Muscle_pain" TargetMode="External"/><Relationship Id="rId28" Type="http://schemas.openxmlformats.org/officeDocument/2006/relationships/hyperlink" Target="https://en.wikipedia.org/wiki/Blood_plasma" TargetMode="External"/><Relationship Id="rId36" Type="http://schemas.openxmlformats.org/officeDocument/2006/relationships/hyperlink" Target="https://en.wikipedia.org/wiki/C-reactive_protein" TargetMode="External"/><Relationship Id="rId49" Type="http://schemas.openxmlformats.org/officeDocument/2006/relationships/hyperlink" Target="https://en.wikipedia.org/wiki/C-reactive_protein" TargetMode="External"/><Relationship Id="rId57" Type="http://schemas.openxmlformats.org/officeDocument/2006/relationships/hyperlink" Target="https://en.wikipedia.org/wiki/Opsonin" TargetMode="External"/><Relationship Id="rId10" Type="http://schemas.openxmlformats.org/officeDocument/2006/relationships/hyperlink" Target="https://en.wikipedia.org/wiki/Cytokine" TargetMode="External"/><Relationship Id="rId31" Type="http://schemas.openxmlformats.org/officeDocument/2006/relationships/hyperlink" Target="https://en.wikipedia.org/wiki/Interleukin-6" TargetMode="External"/><Relationship Id="rId44" Type="http://schemas.openxmlformats.org/officeDocument/2006/relationships/hyperlink" Target="https://en.wikipedia.org/wiki/Adipocyte" TargetMode="External"/><Relationship Id="rId52" Type="http://schemas.openxmlformats.org/officeDocument/2006/relationships/hyperlink" Target="https://en.wikipedia.org/wiki/Mannan-binding_lectin" TargetMode="External"/><Relationship Id="rId60" Type="http://schemas.openxmlformats.org/officeDocument/2006/relationships/hyperlink" Target="https://en.wikipedia.org/wiki/Antibody" TargetMode="External"/><Relationship Id="rId65" Type="http://schemas.openxmlformats.org/officeDocument/2006/relationships/hyperlink" Target="https://en.wikipedia.org/wiki/Papain" TargetMode="External"/><Relationship Id="rId4" Type="http://schemas.openxmlformats.org/officeDocument/2006/relationships/hyperlink" Target="https://en.wikipedia.org/wiki/Signaling_protein" TargetMode="External"/><Relationship Id="rId9" Type="http://schemas.openxmlformats.org/officeDocument/2006/relationships/hyperlink" Target="https://en.wikipedia.org/wiki/Proteins" TargetMode="External"/><Relationship Id="rId13" Type="http://schemas.openxmlformats.org/officeDocument/2006/relationships/hyperlink" Target="https://en.wikipedia.org/wiki/Viral_replication" TargetMode="External"/><Relationship Id="rId18" Type="http://schemas.openxmlformats.org/officeDocument/2006/relationships/hyperlink" Target="https://en.wikipedia.org/wiki/Macrophage" TargetMode="External"/><Relationship Id="rId39" Type="http://schemas.openxmlformats.org/officeDocument/2006/relationships/hyperlink" Target="https://en.wikipedia.org/wiki/C-reactive_protein" TargetMode="External"/><Relationship Id="rId34" Type="http://schemas.openxmlformats.org/officeDocument/2006/relationships/hyperlink" Target="https://en.wikipedia.org/wiki/Complement_system" TargetMode="External"/><Relationship Id="rId50" Type="http://schemas.openxmlformats.org/officeDocument/2006/relationships/hyperlink" Target="https://en.wikipedia.org/wiki/Lectin" TargetMode="External"/><Relationship Id="rId55" Type="http://schemas.openxmlformats.org/officeDocument/2006/relationships/hyperlink" Target="https://en.wikipedia.org/wiki/Phagocytosi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2020-08-30T00:57:00Z</dcterms:created>
  <dcterms:modified xsi:type="dcterms:W3CDTF">2020-08-30T00:58:00Z</dcterms:modified>
</cp:coreProperties>
</file>